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4" w:rsidRDefault="00683F85">
      <w:pPr>
        <w:jc w:val="center"/>
        <w:rPr>
          <w:b/>
          <w:u w:val="single"/>
        </w:rPr>
      </w:pPr>
      <w:r>
        <w:rPr>
          <w:b/>
          <w:u w:val="single"/>
        </w:rPr>
        <w:t xml:space="preserve">Pupil Premium: planning to overcome barriers to learning at </w:t>
      </w:r>
      <w:r w:rsidR="009A34DA">
        <w:rPr>
          <w:b/>
          <w:u w:val="single"/>
        </w:rPr>
        <w:t>Lidget Green Primary School</w:t>
      </w:r>
    </w:p>
    <w:p w:rsidR="003321F6" w:rsidRDefault="00683F85">
      <w:pPr>
        <w:jc w:val="center"/>
        <w:rPr>
          <w:b/>
          <w:u w:val="single"/>
        </w:rPr>
      </w:pPr>
      <w:r>
        <w:rPr>
          <w:b/>
          <w:u w:val="single"/>
        </w:rPr>
        <w:t xml:space="preserve"> </w:t>
      </w:r>
      <w:r w:rsidR="00F650AB">
        <w:rPr>
          <w:b/>
          <w:u w:val="single"/>
        </w:rPr>
        <w:t>2020 - 21</w:t>
      </w:r>
    </w:p>
    <w:p w:rsidR="003321F6" w:rsidRPr="0005608C" w:rsidRDefault="0005608C">
      <w:pPr>
        <w:jc w:val="center"/>
        <w:rPr>
          <w:b/>
          <w:color w:val="FFFFFF" w:themeColor="background1"/>
          <w:sz w:val="24"/>
          <w:szCs w:val="24"/>
          <w:u w:val="single"/>
        </w:rPr>
      </w:pPr>
      <w:r w:rsidRPr="0005608C">
        <w:rPr>
          <w:b/>
          <w:color w:val="FFFFFF" w:themeColor="background1"/>
          <w:sz w:val="24"/>
          <w:szCs w:val="24"/>
          <w:u w:val="single"/>
        </w:rPr>
        <w:t>September 2017 – July</w:t>
      </w:r>
      <w:r w:rsidR="00683F85" w:rsidRPr="0005608C">
        <w:rPr>
          <w:b/>
          <w:color w:val="FFFFFF" w:themeColor="background1"/>
          <w:sz w:val="24"/>
          <w:szCs w:val="24"/>
          <w:u w:val="single"/>
        </w:rPr>
        <w:t xml:space="preserve"> 2018</w:t>
      </w:r>
    </w:p>
    <w:tbl>
      <w:tblPr>
        <w:tblW w:w="15701" w:type="dxa"/>
        <w:tblCellMar>
          <w:left w:w="10" w:type="dxa"/>
          <w:right w:w="10" w:type="dxa"/>
        </w:tblCellMar>
        <w:tblLook w:val="04A0" w:firstRow="1" w:lastRow="0" w:firstColumn="1" w:lastColumn="0" w:noHBand="0" w:noVBand="1"/>
      </w:tblPr>
      <w:tblGrid>
        <w:gridCol w:w="5233"/>
        <w:gridCol w:w="5234"/>
        <w:gridCol w:w="5234"/>
      </w:tblGrid>
      <w:tr w:rsidR="003321F6" w:rsidRPr="0005608C" w:rsidTr="0005608C">
        <w:trPr>
          <w:trHeight w:val="535"/>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 xml:space="preserve">What are the most effective ways to support disadvantaged pupils’ achievement? NFER research into effective practice identifies </w:t>
            </w:r>
          </w:p>
          <w:p w:rsidR="003321F6" w:rsidRP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7 key features of provision:</w:t>
            </w:r>
          </w:p>
        </w:tc>
      </w:tr>
      <w:tr w:rsidR="003321F6" w:rsidTr="0005608C">
        <w:tc>
          <w:tcPr>
            <w:tcW w:w="5233" w:type="dxa"/>
            <w:tcBorders>
              <w:top w:val="single" w:sz="4" w:space="0" w:color="000000"/>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Whole school ethos of attainment for all:</w:t>
            </w:r>
            <w:r>
              <w:t xml:space="preserve"> Schools have an ethos of high attainment for all pupils and avoid stereo-typing disadvantaged pupils as all facing similar barriers or having less potential to succeed. </w:t>
            </w:r>
          </w:p>
          <w:p w:rsidR="003321F6" w:rsidRDefault="003321F6">
            <w:pPr>
              <w:pStyle w:val="ListParagraph"/>
              <w:spacing w:after="0" w:line="240" w:lineRule="auto"/>
            </w:pPr>
          </w:p>
        </w:tc>
        <w:tc>
          <w:tcPr>
            <w:tcW w:w="5234" w:type="dxa"/>
            <w:tcBorders>
              <w:top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Addressing behaviour:</w:t>
            </w:r>
            <w:r>
              <w:t xml:space="preserve"> schools ensure effective behaviour strategies are in place, respond quickly to poor attendance and provide strong social and emotional support including working with families. </w:t>
            </w:r>
          </w:p>
          <w:p w:rsidR="003321F6" w:rsidRDefault="003321F6">
            <w:pPr>
              <w:spacing w:after="0" w:line="240" w:lineRule="auto"/>
            </w:pPr>
          </w:p>
        </w:tc>
        <w:tc>
          <w:tcPr>
            <w:tcW w:w="5234" w:type="dxa"/>
            <w:tcBorders>
              <w:top w:val="single" w:sz="4" w:space="0" w:color="000000"/>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High quality teaching for all:</w:t>
            </w:r>
            <w:r>
              <w:t xml:space="preserve"> Schools emphasise “quality teaching first” and provide consistently high standards by setting </w:t>
            </w:r>
            <w:r>
              <w:rPr>
                <w:szCs w:val="20"/>
              </w:rPr>
              <w:t>expectations, monitoring performance and sharing best practice.</w:t>
            </w:r>
          </w:p>
        </w:tc>
      </w:tr>
      <w:tr w:rsidR="003321F6" w:rsidTr="0005608C">
        <w:tc>
          <w:tcPr>
            <w:tcW w:w="5233" w:type="dxa"/>
            <w:tcBorders>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Meeting individual learning needs:</w:t>
            </w:r>
            <w:r>
              <w:rPr>
                <w:szCs w:val="20"/>
              </w:rPr>
              <w:t xml:space="preserve"> Staff identify each pupil’s challenges and interests.  They seek the best strategies to help each pupil make the next step in his or her learning.  Schools provide individual support for specific learning needs and group support for pupils with similar needs. </w:t>
            </w:r>
          </w:p>
          <w:p w:rsidR="003321F6" w:rsidRDefault="003321F6">
            <w:pPr>
              <w:spacing w:after="0" w:line="240" w:lineRule="auto"/>
            </w:pPr>
          </w:p>
        </w:tc>
        <w:tc>
          <w:tcPr>
            <w:tcW w:w="5234" w:type="dxa"/>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Deploying staff effectively:</w:t>
            </w:r>
            <w:r>
              <w:rPr>
                <w:szCs w:val="20"/>
              </w:rPr>
              <w:t xml:space="preserve"> Schools devolve responsibility to frontline staff, use their best teachers to work with pupils who need the most support and training teaching assistants to support pupils’ learning. </w:t>
            </w:r>
          </w:p>
          <w:p w:rsidR="003321F6" w:rsidRDefault="003321F6">
            <w:pPr>
              <w:spacing w:after="0" w:line="240" w:lineRule="auto"/>
              <w:jc w:val="center"/>
            </w:pPr>
          </w:p>
        </w:tc>
        <w:tc>
          <w:tcPr>
            <w:tcW w:w="5234" w:type="dxa"/>
            <w:tcBorders>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Data driven and responding to evidence:</w:t>
            </w:r>
            <w:r>
              <w:rPr>
                <w:szCs w:val="20"/>
              </w:rPr>
              <w:t xml:space="preserve"> </w:t>
            </w:r>
            <w:r>
              <w:rPr>
                <w:szCs w:val="20"/>
                <w:lang w:eastAsia="en-GB"/>
              </w:rPr>
              <w:t xml:space="preserve">Teachers use data to identify pupils’ needs, review progress every few weeks and address underperformance quickly.  They have manageable Assessment for Learning systems, which provide clear feedback for pupils. Schools use evidence to make decisions about their support strategies. </w:t>
            </w:r>
          </w:p>
        </w:tc>
      </w:tr>
      <w:tr w:rsidR="003321F6" w:rsidTr="0005608C">
        <w:tc>
          <w:tcPr>
            <w:tcW w:w="5233" w:type="dxa"/>
            <w:tcBorders>
              <w:left w:val="single" w:sz="4" w:space="0" w:color="000000"/>
              <w:bottom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c>
          <w:tcPr>
            <w:tcW w:w="5234" w:type="dxa"/>
            <w:tcBorders>
              <w:bottom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Clear, responsive leadership:</w:t>
            </w:r>
            <w:r>
              <w:t xml:space="preserve"> Senior leaders set ever higher aspirations and lead by example.  They hold all staff accountable for raising attainment, rather than accepting low aspirations and variable performance.  They share their thinking and invest in staff training. </w:t>
            </w:r>
          </w:p>
          <w:p w:rsidR="003321F6" w:rsidRDefault="003321F6">
            <w:pPr>
              <w:spacing w:after="0" w:line="240" w:lineRule="auto"/>
              <w:jc w:val="center"/>
            </w:pPr>
          </w:p>
        </w:tc>
        <w:tc>
          <w:tcPr>
            <w:tcW w:w="5234" w:type="dxa"/>
            <w:tcBorders>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r>
    </w:tbl>
    <w:p w:rsidR="003321F6" w:rsidRDefault="003321F6">
      <w:pPr>
        <w:rPr>
          <w:b/>
          <w:sz w:val="20"/>
          <w:u w:val="single"/>
        </w:rPr>
      </w:pPr>
    </w:p>
    <w:p w:rsidR="003321F6" w:rsidRDefault="003321F6">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tbl>
      <w:tblPr>
        <w:tblW w:w="15701" w:type="dxa"/>
        <w:tblCellMar>
          <w:left w:w="10" w:type="dxa"/>
          <w:right w:w="10" w:type="dxa"/>
        </w:tblCellMar>
        <w:tblLook w:val="04A0" w:firstRow="1" w:lastRow="0" w:firstColumn="1" w:lastColumn="0" w:noHBand="0" w:noVBand="1"/>
      </w:tblPr>
      <w:tblGrid>
        <w:gridCol w:w="7087"/>
        <w:gridCol w:w="8614"/>
      </w:tblGrid>
      <w:tr w:rsidR="003321F6" w:rsidTr="0005608C">
        <w:tc>
          <w:tcPr>
            <w:tcW w:w="7087" w:type="dxa"/>
            <w:tcBorders>
              <w:top w:val="single" w:sz="4" w:space="0" w:color="000000"/>
              <w:left w:val="single" w:sz="4" w:space="0" w:color="000000"/>
              <w:bottom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05608C">
            <w:pPr>
              <w:spacing w:after="0" w:line="240" w:lineRule="auto"/>
              <w:jc w:val="center"/>
              <w:rPr>
                <w:b/>
                <w:color w:val="FFFFFF" w:themeColor="background1"/>
                <w:sz w:val="28"/>
              </w:rPr>
            </w:pPr>
            <w:r w:rsidRPr="0005608C">
              <w:rPr>
                <w:b/>
                <w:color w:val="FFFFFF" w:themeColor="background1"/>
                <w:sz w:val="28"/>
              </w:rPr>
              <w:t>What are our pupils’ internal and External barriers to learning?</w:t>
            </w:r>
          </w:p>
        </w:tc>
        <w:tc>
          <w:tcPr>
            <w:tcW w:w="8614" w:type="dxa"/>
            <w:tcBorders>
              <w:top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8C0687">
            <w:pPr>
              <w:spacing w:after="0" w:line="240" w:lineRule="auto"/>
              <w:jc w:val="center"/>
              <w:rPr>
                <w:b/>
                <w:color w:val="FFFFFF" w:themeColor="background1"/>
                <w:sz w:val="28"/>
              </w:rPr>
            </w:pPr>
            <w:r w:rsidRPr="0005608C">
              <w:rPr>
                <w:b/>
                <w:color w:val="FFFFFF" w:themeColor="background1"/>
                <w:sz w:val="28"/>
              </w:rPr>
              <w:t>What are the intended outcomes of our action plan?</w:t>
            </w:r>
          </w:p>
          <w:p w:rsidR="003321F6" w:rsidRPr="0005608C" w:rsidRDefault="003321F6" w:rsidP="008C0687">
            <w:pPr>
              <w:spacing w:after="0" w:line="240" w:lineRule="auto"/>
              <w:jc w:val="center"/>
              <w:rPr>
                <w:b/>
                <w:color w:val="FFFFFF" w:themeColor="background1"/>
                <w:sz w:val="28"/>
              </w:rPr>
            </w:pPr>
          </w:p>
        </w:tc>
      </w:tr>
      <w:tr w:rsidR="003321F6" w:rsidTr="00FA52CE">
        <w:tc>
          <w:tcPr>
            <w:tcW w:w="7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0687" w:rsidRDefault="008C0687" w:rsidP="008C0687">
            <w:pPr>
              <w:pStyle w:val="ListParagraph"/>
              <w:spacing w:after="0" w:line="240" w:lineRule="auto"/>
            </w:pPr>
          </w:p>
          <w:p w:rsidR="003321F6" w:rsidRDefault="00683F85">
            <w:pPr>
              <w:pStyle w:val="ListParagraph"/>
              <w:numPr>
                <w:ilvl w:val="0"/>
                <w:numId w:val="2"/>
              </w:numPr>
              <w:spacing w:after="0" w:line="240" w:lineRule="auto"/>
            </w:pPr>
            <w:r>
              <w:t>Vulnerable families with emotional and social needs</w:t>
            </w:r>
          </w:p>
          <w:p w:rsidR="003321F6" w:rsidRDefault="00683F85">
            <w:pPr>
              <w:pStyle w:val="ListParagraph"/>
              <w:numPr>
                <w:ilvl w:val="0"/>
                <w:numId w:val="2"/>
              </w:numPr>
              <w:spacing w:after="0" w:line="240" w:lineRule="auto"/>
            </w:pPr>
            <w:r>
              <w:t>Vulnerable families lacking engagement with education</w:t>
            </w:r>
          </w:p>
          <w:p w:rsidR="003321F6" w:rsidRDefault="00683F85">
            <w:pPr>
              <w:pStyle w:val="ListParagraph"/>
              <w:numPr>
                <w:ilvl w:val="0"/>
                <w:numId w:val="2"/>
              </w:numPr>
              <w:spacing w:after="0" w:line="240" w:lineRule="auto"/>
            </w:pPr>
            <w:r>
              <w:t xml:space="preserve">Low attendance that impacts negatively on learning </w:t>
            </w:r>
          </w:p>
          <w:p w:rsidR="003321F6" w:rsidRDefault="00683F85">
            <w:pPr>
              <w:pStyle w:val="ListParagraph"/>
              <w:numPr>
                <w:ilvl w:val="0"/>
                <w:numId w:val="2"/>
              </w:numPr>
              <w:spacing w:after="0" w:line="240" w:lineRule="auto"/>
            </w:pPr>
            <w:r>
              <w:t xml:space="preserve">Lack of </w:t>
            </w:r>
            <w:r>
              <w:rPr>
                <w:i/>
              </w:rPr>
              <w:t>cultural capital</w:t>
            </w:r>
            <w:r>
              <w:t xml:space="preserve"> and experience </w:t>
            </w:r>
            <w:r w:rsidR="008C0687">
              <w:t xml:space="preserve">impeding ability to contextualise learning </w:t>
            </w:r>
          </w:p>
          <w:p w:rsidR="008C0687" w:rsidRDefault="008C0687">
            <w:pPr>
              <w:pStyle w:val="ListParagraph"/>
              <w:numPr>
                <w:ilvl w:val="0"/>
                <w:numId w:val="2"/>
              </w:numPr>
              <w:spacing w:after="0" w:line="240" w:lineRule="auto"/>
            </w:pPr>
            <w:r>
              <w:t>Low baseline pupils on entry to YR</w:t>
            </w:r>
          </w:p>
          <w:p w:rsidR="003321F6" w:rsidRDefault="00683F85">
            <w:pPr>
              <w:pStyle w:val="ListParagraph"/>
              <w:numPr>
                <w:ilvl w:val="0"/>
                <w:numId w:val="2"/>
              </w:numPr>
              <w:spacing w:after="0" w:line="240" w:lineRule="auto"/>
            </w:pPr>
            <w:r>
              <w:t>Underachievement due to lack of engagement with education</w:t>
            </w:r>
          </w:p>
          <w:p w:rsidR="003321F6" w:rsidRDefault="00683F85">
            <w:pPr>
              <w:pStyle w:val="ListParagraph"/>
              <w:numPr>
                <w:ilvl w:val="0"/>
                <w:numId w:val="2"/>
              </w:numPr>
              <w:spacing w:after="0" w:line="240" w:lineRule="auto"/>
            </w:pPr>
            <w:r>
              <w:t>Speech and language delay</w:t>
            </w:r>
          </w:p>
          <w:p w:rsidR="006502D5" w:rsidRDefault="006502D5">
            <w:pPr>
              <w:pStyle w:val="ListParagraph"/>
              <w:numPr>
                <w:ilvl w:val="0"/>
                <w:numId w:val="2"/>
              </w:numPr>
              <w:spacing w:after="0" w:line="240" w:lineRule="auto"/>
            </w:pPr>
            <w:r>
              <w:t>E</w:t>
            </w:r>
            <w:r w:rsidR="00EE2CD1">
              <w:t xml:space="preserve">nglish </w:t>
            </w:r>
            <w:r>
              <w:t>A</w:t>
            </w:r>
            <w:r w:rsidR="00EE2CD1">
              <w:t xml:space="preserve">dditional </w:t>
            </w:r>
            <w:r>
              <w:t>L</w:t>
            </w:r>
            <w:r w:rsidR="00EE2CD1">
              <w:t xml:space="preserve">anguage </w:t>
            </w:r>
            <w:r>
              <w:t>/N</w:t>
            </w:r>
            <w:r w:rsidR="00EE2CD1">
              <w:t xml:space="preserve">ew to </w:t>
            </w:r>
            <w:r>
              <w:t>E</w:t>
            </w:r>
            <w:r w:rsidR="00EE2CD1">
              <w:t>nglish</w:t>
            </w:r>
          </w:p>
          <w:p w:rsidR="003321F6" w:rsidRDefault="003321F6" w:rsidP="001C1DA7">
            <w:pPr>
              <w:pStyle w:val="ListParagraph"/>
              <w:spacing w:after="0" w:line="240" w:lineRule="auto"/>
              <w:rPr>
                <w:b/>
                <w:u w:val="single"/>
              </w:rPr>
            </w:pPr>
          </w:p>
        </w:tc>
        <w:tc>
          <w:tcPr>
            <w:tcW w:w="86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rPr>
                <w:b/>
                <w:u w:val="single"/>
              </w:rPr>
            </w:pPr>
          </w:p>
          <w:p w:rsidR="008C0687" w:rsidRDefault="008C0687" w:rsidP="008C0687">
            <w:pPr>
              <w:pStyle w:val="ListParagraph"/>
              <w:numPr>
                <w:ilvl w:val="0"/>
                <w:numId w:val="3"/>
              </w:numPr>
              <w:spacing w:after="0" w:line="240" w:lineRule="auto"/>
            </w:pPr>
            <w:r>
              <w:t>% of pupils achieving age related expectations in reading, writing and maths match national expectations</w:t>
            </w:r>
          </w:p>
          <w:p w:rsidR="003321F6" w:rsidRDefault="00683F85">
            <w:pPr>
              <w:pStyle w:val="ListParagraph"/>
              <w:numPr>
                <w:ilvl w:val="0"/>
                <w:numId w:val="3"/>
              </w:numPr>
              <w:spacing w:after="0" w:line="240" w:lineRule="auto"/>
            </w:pPr>
            <w:r>
              <w:t>PP tracking is robust and is used to inform subsequent provision</w:t>
            </w:r>
          </w:p>
          <w:p w:rsidR="003321F6" w:rsidRDefault="008C0687">
            <w:pPr>
              <w:pStyle w:val="ListParagraph"/>
              <w:numPr>
                <w:ilvl w:val="0"/>
                <w:numId w:val="3"/>
              </w:numPr>
              <w:spacing w:after="0" w:line="240" w:lineRule="auto"/>
            </w:pPr>
            <w:r>
              <w:t xml:space="preserve">Support is provided for </w:t>
            </w:r>
            <w:r w:rsidR="00683F85">
              <w:t>families’ and pupil’s social, emotional and health needs</w:t>
            </w:r>
          </w:p>
          <w:p w:rsidR="003321F6" w:rsidRDefault="00EE2CD1">
            <w:pPr>
              <w:pStyle w:val="ListParagraph"/>
              <w:numPr>
                <w:ilvl w:val="0"/>
                <w:numId w:val="3"/>
              </w:numPr>
              <w:spacing w:after="0" w:line="240" w:lineRule="auto"/>
            </w:pPr>
            <w:r>
              <w:t>Through rigorous approaches to persistent absence, extended leave and long term absence  p</w:t>
            </w:r>
            <w:r w:rsidR="00683F85">
              <w:t>upils’ attendance is improved and no longer limits access to learning</w:t>
            </w:r>
          </w:p>
          <w:p w:rsidR="003321F6" w:rsidRDefault="00683F85">
            <w:pPr>
              <w:pStyle w:val="ListParagraph"/>
              <w:numPr>
                <w:ilvl w:val="0"/>
                <w:numId w:val="3"/>
              </w:numPr>
              <w:spacing w:after="0" w:line="240" w:lineRule="auto"/>
            </w:pPr>
            <w:r>
              <w:t>More able pupils are achieving at high levels</w:t>
            </w:r>
          </w:p>
          <w:p w:rsidR="003321F6" w:rsidRDefault="00683F85">
            <w:pPr>
              <w:pStyle w:val="ListParagraph"/>
              <w:numPr>
                <w:ilvl w:val="0"/>
                <w:numId w:val="3"/>
              </w:numPr>
              <w:spacing w:after="0" w:line="240" w:lineRule="auto"/>
            </w:pPr>
            <w:r>
              <w:t>Underachieving pupils are closing the gap with their peers</w:t>
            </w:r>
            <w:r w:rsidR="008C0687">
              <w:t>: progre</w:t>
            </w:r>
            <w:r w:rsidR="00557EE5">
              <w:t>ss for PP closing the gap on national other</w:t>
            </w:r>
          </w:p>
          <w:p w:rsidR="003321F6" w:rsidRDefault="00683F85">
            <w:pPr>
              <w:pStyle w:val="ListParagraph"/>
              <w:numPr>
                <w:ilvl w:val="0"/>
                <w:numId w:val="3"/>
              </w:numPr>
              <w:spacing w:after="0" w:line="240" w:lineRule="auto"/>
            </w:pPr>
            <w:r>
              <w:t>Low baseline pupils are school ready in the summer term</w:t>
            </w:r>
          </w:p>
          <w:p w:rsidR="003321F6" w:rsidRDefault="00683F85">
            <w:pPr>
              <w:pStyle w:val="ListParagraph"/>
              <w:numPr>
                <w:ilvl w:val="0"/>
                <w:numId w:val="3"/>
              </w:numPr>
              <w:spacing w:after="0" w:line="240" w:lineRule="auto"/>
            </w:pPr>
            <w:r>
              <w:t>Pupils are provided with access to a wide range of experiences that enhance their knowledge and understanding of the world and support learning across the curriculum particularly in literacy and mathematics</w:t>
            </w:r>
          </w:p>
          <w:p w:rsidR="003321F6" w:rsidRDefault="003321F6" w:rsidP="001C1DA7">
            <w:pPr>
              <w:pStyle w:val="ListParagraph"/>
              <w:spacing w:after="0" w:line="240" w:lineRule="auto"/>
              <w:rPr>
                <w:b/>
                <w:u w:val="single"/>
              </w:rPr>
            </w:pPr>
          </w:p>
        </w:tc>
      </w:tr>
    </w:tbl>
    <w:p w:rsidR="00287BE8" w:rsidRDefault="00287BE8">
      <w:pPr>
        <w:rPr>
          <w:rFonts w:ascii="Arial" w:hAnsi="Arial" w:cs="Arial"/>
          <w:color w:val="0B0C0C"/>
          <w:sz w:val="29"/>
          <w:szCs w:val="29"/>
          <w:shd w:val="clear" w:color="auto" w:fill="FFFFFF"/>
        </w:rPr>
      </w:pPr>
    </w:p>
    <w:p w:rsidR="003321F6" w:rsidRPr="00FE4870" w:rsidRDefault="00287BE8">
      <w:pPr>
        <w:rPr>
          <w:rFonts w:ascii="Arial" w:hAnsi="Arial" w:cs="Arial"/>
          <w:color w:val="0B0C0C"/>
          <w:u w:val="single"/>
          <w:shd w:val="clear" w:color="auto" w:fill="FFFFFF"/>
        </w:rPr>
      </w:pPr>
      <w:r w:rsidRPr="00FE4870">
        <w:rPr>
          <w:rFonts w:ascii="Arial" w:hAnsi="Arial" w:cs="Arial"/>
          <w:color w:val="0B0C0C"/>
          <w:u w:val="single"/>
          <w:shd w:val="clear" w:color="auto" w:fill="FFFFFF"/>
        </w:rPr>
        <w:t>The </w:t>
      </w:r>
      <w:r w:rsidRPr="00FE4870">
        <w:rPr>
          <w:rFonts w:ascii="Arial" w:hAnsi="Arial" w:cs="Arial"/>
          <w:u w:val="single"/>
        </w:rPr>
        <w:t>PPG</w:t>
      </w:r>
      <w:r w:rsidRPr="00FE4870">
        <w:rPr>
          <w:rFonts w:ascii="Arial" w:hAnsi="Arial" w:cs="Arial"/>
          <w:color w:val="0B0C0C"/>
          <w:u w:val="single"/>
          <w:shd w:val="clear" w:color="auto" w:fill="FFFFFF"/>
        </w:rPr>
        <w:t> per-pupil rate for 2020 to 2021 is as follows:</w:t>
      </w:r>
    </w:p>
    <w:p w:rsidR="00287BE8" w:rsidRPr="00FE4870" w:rsidRDefault="00287BE8">
      <w:pPr>
        <w:rPr>
          <w:rFonts w:ascii="Arial" w:hAnsi="Arial" w:cs="Arial"/>
          <w:color w:val="0B0C0C"/>
          <w:shd w:val="clear" w:color="auto" w:fill="FFFFFF"/>
        </w:rPr>
      </w:pPr>
      <w:r w:rsidRPr="00FE4870">
        <w:rPr>
          <w:rFonts w:ascii="Arial" w:hAnsi="Arial" w:cs="Arial"/>
          <w:color w:val="0B0C0C"/>
          <w:shd w:val="clear" w:color="auto" w:fill="FFFFFF"/>
        </w:rPr>
        <w:t>Pupils in year groups Reception to Year 6 recorded as Ever 6 free school meals(FSM)</w:t>
      </w:r>
      <w:r w:rsidR="00FE4870">
        <w:rPr>
          <w:rFonts w:ascii="Arial" w:hAnsi="Arial" w:cs="Arial"/>
          <w:color w:val="0B0C0C"/>
          <w:shd w:val="clear" w:color="auto" w:fill="FFFFFF"/>
        </w:rPr>
        <w:t>:</w:t>
      </w:r>
      <w:r w:rsidRPr="00FE4870">
        <w:rPr>
          <w:rFonts w:ascii="Arial" w:hAnsi="Arial" w:cs="Arial"/>
          <w:color w:val="0B0C0C"/>
          <w:shd w:val="clear" w:color="auto" w:fill="FFFFFF"/>
        </w:rPr>
        <w:t xml:space="preserve">   £1,345</w:t>
      </w:r>
    </w:p>
    <w:p w:rsidR="00287BE8" w:rsidRPr="00287BE8" w:rsidRDefault="00FE4870" w:rsidP="00FE4870">
      <w:pPr>
        <w:rPr>
          <w:rFonts w:ascii="Times New Roman" w:eastAsia="Times New Roman" w:hAnsi="Times New Roman"/>
          <w:vanish/>
          <w:lang w:eastAsia="en-GB"/>
        </w:rPr>
      </w:pPr>
      <w:r w:rsidRPr="00FE4870">
        <w:rPr>
          <w:rFonts w:ascii="Arial" w:hAnsi="Arial" w:cs="Arial"/>
          <w:color w:val="0B0C0C"/>
          <w:shd w:val="clear" w:color="auto" w:fill="FFFFFF"/>
        </w:rPr>
        <w:t>Looked- after children (LAC) defined in the Children Act 1989 as one who is in the care of, or provided with accommodation by, an English Local Authority</w:t>
      </w:r>
      <w:r>
        <w:rPr>
          <w:rFonts w:ascii="Arial" w:hAnsi="Arial" w:cs="Arial"/>
          <w:color w:val="0B0C0C"/>
          <w:shd w:val="clear" w:color="auto" w:fill="FFFFFF"/>
        </w:rPr>
        <w:t>:</w:t>
      </w:r>
      <w:r w:rsidRPr="00FE4870">
        <w:rPr>
          <w:rFonts w:ascii="Arial" w:hAnsi="Arial" w:cs="Arial"/>
          <w:color w:val="0B0C0C"/>
          <w:shd w:val="clear" w:color="auto" w:fill="FFFFFF"/>
        </w:rPr>
        <w:t xml:space="preserve">                                                                  £2,345 </w:t>
      </w:r>
    </w:p>
    <w:p w:rsidR="00287BE8" w:rsidRPr="00FE4870" w:rsidRDefault="00287BE8"/>
    <w:p w:rsidR="00EE2CD1" w:rsidRPr="00EE2CD1" w:rsidRDefault="00EE2CD1">
      <w:pPr>
        <w:rPr>
          <w:color w:val="FF0000"/>
        </w:rPr>
      </w:pPr>
    </w:p>
    <w:tbl>
      <w:tblPr>
        <w:tblW w:w="15743" w:type="dxa"/>
        <w:tblInd w:w="18" w:type="dxa"/>
        <w:tblCellMar>
          <w:left w:w="10" w:type="dxa"/>
          <w:right w:w="10" w:type="dxa"/>
        </w:tblCellMar>
        <w:tblLook w:val="04A0" w:firstRow="1" w:lastRow="0" w:firstColumn="1" w:lastColumn="0" w:noHBand="0" w:noVBand="1"/>
      </w:tblPr>
      <w:tblGrid>
        <w:gridCol w:w="2784"/>
        <w:gridCol w:w="3513"/>
        <w:gridCol w:w="2865"/>
        <w:gridCol w:w="3432"/>
        <w:gridCol w:w="3149"/>
      </w:tblGrid>
      <w:tr w:rsidR="00FA52CE" w:rsidTr="0005608C">
        <w:trPr>
          <w:trHeight w:val="490"/>
        </w:trPr>
        <w:tc>
          <w:tcPr>
            <w:tcW w:w="27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FC621D" w:rsidP="000C2CF2">
            <w:pPr>
              <w:spacing w:after="0" w:line="240" w:lineRule="auto"/>
              <w:jc w:val="center"/>
              <w:rPr>
                <w:b/>
                <w:color w:val="FFFFFF" w:themeColor="background1"/>
              </w:rPr>
            </w:pPr>
            <w:r>
              <w:rPr>
                <w:b/>
                <w:color w:val="FFFFFF" w:themeColor="background1"/>
              </w:rPr>
              <w:t>April 2020 – April 2021</w:t>
            </w:r>
          </w:p>
        </w:tc>
        <w:tc>
          <w:tcPr>
            <w:tcW w:w="351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Amount of pupil premium funding</w:t>
            </w:r>
          </w:p>
        </w:tc>
        <w:tc>
          <w:tcPr>
            <w:tcW w:w="286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eligible pupils</w:t>
            </w:r>
          </w:p>
        </w:tc>
        <w:tc>
          <w:tcPr>
            <w:tcW w:w="34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Looked After Children</w:t>
            </w:r>
          </w:p>
        </w:tc>
        <w:tc>
          <w:tcPr>
            <w:tcW w:w="314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0C2CF2" w:rsidP="00FA52CE">
            <w:pPr>
              <w:spacing w:after="0" w:line="240" w:lineRule="auto"/>
              <w:ind w:right="272"/>
              <w:jc w:val="center"/>
              <w:rPr>
                <w:b/>
                <w:color w:val="FFFFFF" w:themeColor="background1"/>
              </w:rPr>
            </w:pPr>
            <w:r w:rsidRPr="0005608C">
              <w:rPr>
                <w:b/>
                <w:color w:val="FFFFFF" w:themeColor="background1"/>
              </w:rPr>
              <w:t>Number of Forces Children</w:t>
            </w:r>
          </w:p>
        </w:tc>
      </w:tr>
      <w:tr w:rsidR="00FA52CE" w:rsidTr="0005608C">
        <w:trPr>
          <w:trHeight w:val="424"/>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FC621D" w:rsidP="000C2CF2">
            <w:pPr>
              <w:spacing w:after="0" w:line="240" w:lineRule="auto"/>
              <w:jc w:val="center"/>
              <w:rPr>
                <w:sz w:val="20"/>
              </w:rPr>
            </w:pPr>
            <w:r>
              <w:rPr>
                <w:sz w:val="20"/>
              </w:rPr>
              <w:t>2020 – 2021</w:t>
            </w:r>
            <w:r w:rsidR="00683F85">
              <w:rPr>
                <w:sz w:val="20"/>
              </w:rPr>
              <w:t xml:space="preserve"> funding</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F14B09" w:rsidP="001C1DA7">
            <w:pPr>
              <w:spacing w:after="0" w:line="240" w:lineRule="auto"/>
              <w:jc w:val="center"/>
              <w:rPr>
                <w:sz w:val="20"/>
              </w:rPr>
            </w:pPr>
            <w:r>
              <w:rPr>
                <w:sz w:val="20"/>
              </w:rPr>
              <w:t>£</w:t>
            </w:r>
            <w:r w:rsidR="00FE4870">
              <w:rPr>
                <w:sz w:val="20"/>
              </w:rPr>
              <w:t>238,524</w:t>
            </w:r>
            <w:r w:rsidR="00FC621D">
              <w:rPr>
                <w:sz w:val="20"/>
              </w:rPr>
              <w:t xml:space="preserve"> ( April ’20 – April ’21</w:t>
            </w:r>
            <w:r w:rsidR="007008F3">
              <w:rPr>
                <w:sz w:val="20"/>
              </w:rPr>
              <w:t>)</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2CD1" w:rsidRPr="003553C4" w:rsidRDefault="00FE4870" w:rsidP="00B95371">
            <w:pPr>
              <w:spacing w:after="0" w:line="240" w:lineRule="auto"/>
              <w:jc w:val="center"/>
              <w:rPr>
                <w:sz w:val="20"/>
              </w:rPr>
            </w:pPr>
            <w:r w:rsidRPr="006311D1">
              <w:rPr>
                <w:sz w:val="20"/>
              </w:rPr>
              <w:t>175 /554  =31</w:t>
            </w:r>
            <w:r w:rsidR="00FC621D" w:rsidRPr="006311D1">
              <w:rPr>
                <w:sz w:val="20"/>
              </w:rPr>
              <w:t>% (Sept ’20</w:t>
            </w:r>
            <w:r w:rsidR="00F14B09" w:rsidRPr="006311D1">
              <w:rPr>
                <w:sz w:val="20"/>
              </w:rPr>
              <w:t>)</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38030D" w:rsidP="000C2CF2">
            <w:pPr>
              <w:spacing w:after="0" w:line="240" w:lineRule="auto"/>
              <w:jc w:val="center"/>
              <w:rPr>
                <w:sz w:val="20"/>
              </w:rPr>
            </w:pPr>
            <w:r>
              <w:rPr>
                <w:sz w:val="20"/>
              </w:rPr>
              <w:t>4</w:t>
            </w:r>
          </w:p>
          <w:p w:rsidR="00EE2CD1" w:rsidRDefault="00EE2CD1" w:rsidP="000C2CF2">
            <w:pPr>
              <w:spacing w:after="0" w:line="240" w:lineRule="auto"/>
              <w:jc w:val="center"/>
              <w:rPr>
                <w:sz w:val="20"/>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5608C" w:rsidP="000C2CF2">
            <w:pPr>
              <w:spacing w:after="0" w:line="240" w:lineRule="auto"/>
              <w:jc w:val="center"/>
              <w:rPr>
                <w:sz w:val="20"/>
              </w:rPr>
            </w:pPr>
            <w:r>
              <w:rPr>
                <w:sz w:val="20"/>
              </w:rPr>
              <w:t>0</w:t>
            </w:r>
          </w:p>
          <w:p w:rsidR="00EE2CD1" w:rsidRDefault="00EE2CD1" w:rsidP="000C2CF2">
            <w:pPr>
              <w:spacing w:after="0" w:line="240" w:lineRule="auto"/>
              <w:jc w:val="center"/>
              <w:rPr>
                <w:sz w:val="20"/>
              </w:rPr>
            </w:pPr>
          </w:p>
        </w:tc>
      </w:tr>
    </w:tbl>
    <w:p w:rsidR="002D565F" w:rsidRDefault="002D565F">
      <w:pPr>
        <w:rPr>
          <w:u w:val="single"/>
        </w:rPr>
      </w:pPr>
    </w:p>
    <w:p w:rsidR="002D565F" w:rsidRDefault="002D565F">
      <w:pPr>
        <w:rPr>
          <w:u w:val="single"/>
        </w:rPr>
      </w:pPr>
    </w:p>
    <w:p w:rsidR="00FE4870" w:rsidRDefault="00FE4870">
      <w:pPr>
        <w:rPr>
          <w:u w:val="single"/>
        </w:rPr>
      </w:pPr>
    </w:p>
    <w:tbl>
      <w:tblPr>
        <w:tblW w:w="15689" w:type="dxa"/>
        <w:tblLayout w:type="fixed"/>
        <w:tblCellMar>
          <w:left w:w="10" w:type="dxa"/>
          <w:right w:w="10" w:type="dxa"/>
        </w:tblCellMar>
        <w:tblLook w:val="04A0" w:firstRow="1" w:lastRow="0" w:firstColumn="1" w:lastColumn="0" w:noHBand="0" w:noVBand="1"/>
      </w:tblPr>
      <w:tblGrid>
        <w:gridCol w:w="959"/>
        <w:gridCol w:w="4819"/>
        <w:gridCol w:w="993"/>
        <w:gridCol w:w="1842"/>
        <w:gridCol w:w="1276"/>
        <w:gridCol w:w="1843"/>
        <w:gridCol w:w="1276"/>
        <w:gridCol w:w="2681"/>
      </w:tblGrid>
      <w:tr w:rsidR="00D87CC1" w:rsidTr="0005608C">
        <w:tc>
          <w:tcPr>
            <w:tcW w:w="95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lastRenderedPageBreak/>
              <w:t xml:space="preserve">Evidence base  </w:t>
            </w:r>
          </w:p>
        </w:tc>
        <w:tc>
          <w:tcPr>
            <w:tcW w:w="48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Action</w:t>
            </w:r>
          </w:p>
        </w:tc>
        <w:tc>
          <w:tcPr>
            <w:tcW w:w="99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777EB1" w:rsidRPr="0005608C" w:rsidRDefault="00D87CC1">
            <w:pPr>
              <w:spacing w:after="0" w:line="240" w:lineRule="auto"/>
              <w:jc w:val="center"/>
              <w:rPr>
                <w:b/>
                <w:color w:val="FFFFFF" w:themeColor="background1"/>
                <w:sz w:val="20"/>
                <w:szCs w:val="20"/>
              </w:rPr>
            </w:pPr>
            <w:r w:rsidRPr="0005608C">
              <w:rPr>
                <w:b/>
                <w:color w:val="FFFFFF" w:themeColor="background1"/>
                <w:sz w:val="20"/>
                <w:szCs w:val="20"/>
              </w:rPr>
              <w:t>New / Continued A</w:t>
            </w:r>
            <w:r w:rsidR="00241030" w:rsidRPr="0005608C">
              <w:rPr>
                <w:b/>
                <w:color w:val="FFFFFF" w:themeColor="background1"/>
                <w:sz w:val="20"/>
                <w:szCs w:val="20"/>
              </w:rPr>
              <w:t>ction</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Targeted Group</w:t>
            </w:r>
          </w:p>
        </w:tc>
        <w:tc>
          <w:tcPr>
            <w:tcW w:w="184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Intended Outcome </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Monitored by</w:t>
            </w:r>
          </w:p>
        </w:tc>
        <w:tc>
          <w:tcPr>
            <w:tcW w:w="268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Impact</w:t>
            </w:r>
          </w:p>
        </w:tc>
      </w:tr>
      <w:tr w:rsidR="003321F6"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3321F6" w:rsidRDefault="00683F85" w:rsidP="00DF3D2F">
            <w:pPr>
              <w:spacing w:after="0" w:line="240" w:lineRule="auto"/>
              <w:jc w:val="center"/>
              <w:rPr>
                <w:b/>
                <w:sz w:val="20"/>
                <w:szCs w:val="20"/>
              </w:rPr>
            </w:pPr>
            <w:r>
              <w:rPr>
                <w:b/>
                <w:sz w:val="20"/>
                <w:szCs w:val="20"/>
              </w:rPr>
              <w:t xml:space="preserve">WHOLE SCHOOL STRATEGIES FOR ALL PUPILS – BENEFITTING </w:t>
            </w:r>
            <w:r w:rsidR="00F30CD7">
              <w:rPr>
                <w:b/>
                <w:sz w:val="20"/>
                <w:szCs w:val="20"/>
              </w:rPr>
              <w:t>232</w:t>
            </w:r>
            <w:r>
              <w:rPr>
                <w:b/>
                <w:sz w:val="20"/>
                <w:szCs w:val="20"/>
              </w:rPr>
              <w:t xml:space="preserve"> PP PUPILS</w:t>
            </w:r>
          </w:p>
        </w:tc>
      </w:tr>
      <w:tr w:rsidR="00D87CC1" w:rsidTr="00F14B09">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C2CF2" w:rsidRPr="0005608C" w:rsidRDefault="00A25C66" w:rsidP="00ED04F8">
            <w:pPr>
              <w:pStyle w:val="NoSpacing"/>
              <w:rPr>
                <w:sz w:val="20"/>
              </w:rPr>
            </w:pPr>
            <w:r>
              <w:rPr>
                <w:sz w:val="20"/>
              </w:rPr>
              <w:t xml:space="preserve">School </w:t>
            </w:r>
            <w:r w:rsidR="000F25A5" w:rsidRPr="0005608C">
              <w:rPr>
                <w:sz w:val="20"/>
              </w:rPr>
              <w:t>Attendance Officer</w:t>
            </w:r>
            <w:r>
              <w:rPr>
                <w:sz w:val="20"/>
              </w:rPr>
              <w:t xml:space="preserve"> </w:t>
            </w:r>
            <w:r w:rsidR="000F25A5" w:rsidRPr="0005608C">
              <w:rPr>
                <w:sz w:val="20"/>
              </w:rPr>
              <w:t xml:space="preserve"> ensure all children attend on a regular basis. </w:t>
            </w:r>
            <w:r w:rsidR="00E77732" w:rsidRPr="0005608C">
              <w:rPr>
                <w:sz w:val="20"/>
              </w:rPr>
              <w:t>Focussed tracking and intervention for PP and PA children</w:t>
            </w:r>
            <w:r w:rsidR="00777EB1" w:rsidRPr="0005608C">
              <w:rPr>
                <w:sz w:val="20"/>
              </w:rPr>
              <w:t xml:space="preserve"> –</w:t>
            </w:r>
            <w:r w:rsidR="00777EB1" w:rsidRPr="0005608C">
              <w:rPr>
                <w:i/>
                <w:sz w:val="20"/>
              </w:rPr>
              <w:t xml:space="preserve"> first day visits, ½ termly </w:t>
            </w:r>
            <w:r w:rsidR="00AD2C8A">
              <w:rPr>
                <w:i/>
                <w:sz w:val="20"/>
              </w:rPr>
              <w:t xml:space="preserve">and 4 weekly </w:t>
            </w:r>
            <w:r w:rsidR="00777EB1" w:rsidRPr="0005608C">
              <w:rPr>
                <w:i/>
                <w:sz w:val="20"/>
              </w:rPr>
              <w:t>meetings</w:t>
            </w:r>
            <w:r w:rsidR="00B95371">
              <w:rPr>
                <w:i/>
                <w:sz w:val="20"/>
              </w:rPr>
              <w:t xml:space="preserve"> with parents</w:t>
            </w:r>
            <w:r w:rsidR="00777EB1" w:rsidRPr="0005608C">
              <w:rPr>
                <w:i/>
                <w:sz w:val="20"/>
              </w:rPr>
              <w:t>, celebration</w:t>
            </w:r>
            <w:r w:rsidR="00AD2C8A">
              <w:rPr>
                <w:i/>
                <w:sz w:val="20"/>
              </w:rPr>
              <w:t xml:space="preserve"> of improved attendance: rewards &amp;, certificates, parents invited to celebration events.</w:t>
            </w:r>
            <w:r w:rsidR="00777EB1" w:rsidRPr="0005608C">
              <w:rPr>
                <w:sz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Default="006311D1" w:rsidP="00874C6F">
            <w:pPr>
              <w:spacing w:after="0" w:line="240" w:lineRule="auto"/>
              <w:jc w:val="center"/>
              <w:rPr>
                <w:sz w:val="20"/>
                <w:szCs w:val="20"/>
              </w:rPr>
            </w:pPr>
            <w:r>
              <w:rPr>
                <w:sz w:val="20"/>
                <w:szCs w:val="20"/>
              </w:rPr>
              <w:t>£15</w:t>
            </w:r>
            <w:r w:rsidR="00541E35">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F94CF8" w:rsidP="00510AE7">
            <w:pPr>
              <w:pStyle w:val="NoSpacing"/>
              <w:jc w:val="center"/>
              <w:rPr>
                <w:sz w:val="20"/>
              </w:rPr>
            </w:pPr>
            <w:r>
              <w:rPr>
                <w:sz w:val="20"/>
              </w:rPr>
              <w:t xml:space="preserv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777EB1" w:rsidP="00510AE7">
            <w:pPr>
              <w:spacing w:after="0" w:line="240" w:lineRule="auto"/>
              <w:jc w:val="center"/>
              <w:rPr>
                <w:sz w:val="20"/>
                <w:szCs w:val="20"/>
              </w:rPr>
            </w:pPr>
            <w:r>
              <w:rPr>
                <w:sz w:val="20"/>
                <w:szCs w:val="20"/>
              </w:rPr>
              <w:t>SLT</w:t>
            </w:r>
          </w:p>
          <w:p w:rsidR="00777EB1" w:rsidRDefault="00777EB1" w:rsidP="00510AE7">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rsidP="006502D5">
            <w:pPr>
              <w:spacing w:after="0" w:line="240" w:lineRule="auto"/>
              <w:rPr>
                <w:sz w:val="20"/>
                <w:szCs w:val="20"/>
              </w:rPr>
            </w:pPr>
          </w:p>
        </w:tc>
      </w:tr>
      <w:tr w:rsidR="00A25C66" w:rsidTr="003B40AA">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C66" w:rsidRDefault="00A25C66">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25C66" w:rsidRPr="0005608C" w:rsidRDefault="003B40AA" w:rsidP="007E07D6">
            <w:pPr>
              <w:pStyle w:val="NoSpacing"/>
              <w:rPr>
                <w:sz w:val="20"/>
              </w:rPr>
            </w:pPr>
            <w:r>
              <w:rPr>
                <w:sz w:val="20"/>
              </w:rPr>
              <w:t xml:space="preserve">SLA with </w:t>
            </w:r>
            <w:r w:rsidR="00A25C66">
              <w:rPr>
                <w:sz w:val="20"/>
              </w:rPr>
              <w:t>Bradford LA ESW service to work alongside the Attendance officer: Attendance challenge with parents, panel meetings, penalty notices.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25C66" w:rsidRDefault="00A25C66" w:rsidP="001D0E58">
            <w:pPr>
              <w:spacing w:after="0" w:line="240" w:lineRule="auto"/>
              <w:jc w:val="center"/>
              <w:rPr>
                <w:sz w:val="20"/>
                <w:szCs w:val="20"/>
              </w:rPr>
            </w:pPr>
            <w:r w:rsidRPr="00FE4870">
              <w:rPr>
                <w:sz w:val="20"/>
                <w:szCs w:val="20"/>
              </w:rPr>
              <w:t>£1</w:t>
            </w:r>
            <w:r w:rsidR="00FE4870" w:rsidRPr="00FE4870">
              <w:rPr>
                <w:sz w:val="20"/>
                <w:szCs w:val="20"/>
              </w:rPr>
              <w:t>,727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5C66" w:rsidRDefault="0040393D" w:rsidP="0040393D">
            <w:pPr>
              <w:rPr>
                <w:b/>
                <w:sz w:val="20"/>
                <w:szCs w:val="20"/>
              </w:rPr>
            </w:pPr>
            <w:r>
              <w:rPr>
                <w:b/>
                <w:sz w:val="20"/>
                <w:szCs w:val="20"/>
              </w:rPr>
              <w:t xml:space="preserve">Continued </w:t>
            </w:r>
            <w:r w:rsidR="00A25C66">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A25C66" w:rsidP="00510AE7">
            <w:pPr>
              <w:pStyle w:val="NoSpacing"/>
              <w:jc w:val="center"/>
              <w:rPr>
                <w:sz w:val="20"/>
              </w:rPr>
            </w:pPr>
            <w:r>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A25C66" w:rsidP="00510AE7">
            <w:pPr>
              <w:pStyle w:val="NoSpacing"/>
              <w:jc w:val="center"/>
              <w:rPr>
                <w:sz w:val="20"/>
              </w:rPr>
            </w:pPr>
            <w:r>
              <w:rPr>
                <w:sz w:val="20"/>
              </w:rPr>
              <w:t>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6502D5" w:rsidP="00510AE7">
            <w:pPr>
              <w:spacing w:after="0" w:line="240" w:lineRule="auto"/>
              <w:jc w:val="center"/>
              <w:rPr>
                <w:sz w:val="20"/>
                <w:szCs w:val="20"/>
              </w:rPr>
            </w:pPr>
            <w:r>
              <w:rPr>
                <w:sz w:val="20"/>
                <w:szCs w:val="20"/>
              </w:rPr>
              <w:t>S</w:t>
            </w:r>
            <w:r w:rsidR="00A25C66">
              <w:rPr>
                <w:sz w:val="20"/>
                <w:szCs w:val="20"/>
              </w:rPr>
              <w:t>L</w:t>
            </w:r>
            <w:r>
              <w:rPr>
                <w:sz w:val="20"/>
                <w:szCs w:val="20"/>
              </w:rPr>
              <w:t>T</w:t>
            </w:r>
          </w:p>
          <w:p w:rsidR="00EE2CD1" w:rsidRDefault="00F76173" w:rsidP="00510AE7">
            <w:pPr>
              <w:spacing w:after="0" w:line="240" w:lineRule="auto"/>
              <w:jc w:val="center"/>
              <w:rPr>
                <w:sz w:val="20"/>
                <w:szCs w:val="20"/>
              </w:rPr>
            </w:pPr>
            <w:r>
              <w:rPr>
                <w:sz w:val="20"/>
                <w:szCs w:val="20"/>
              </w:rPr>
              <w:t>GOVS</w:t>
            </w:r>
          </w:p>
          <w:p w:rsidR="00A25C66" w:rsidRDefault="00A25C66" w:rsidP="00510AE7">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219" w:rsidRDefault="00340219" w:rsidP="009F7C3F">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Pr="0011102D" w:rsidRDefault="00ED04F8">
            <w:pPr>
              <w:spacing w:after="0" w:line="240" w:lineRule="auto"/>
              <w:jc w:val="center"/>
              <w:rPr>
                <w:b/>
                <w:sz w:val="20"/>
                <w:szCs w:val="20"/>
                <w:highlight w:val="yellow"/>
              </w:rPr>
            </w:pPr>
            <w:r>
              <w:rPr>
                <w:b/>
                <w:sz w:val="20"/>
                <w:szCs w:val="20"/>
              </w:rPr>
              <w:t>1,2 ,</w:t>
            </w:r>
            <w:r w:rsidR="0038030D" w:rsidRPr="0038030D">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40219" w:rsidRPr="0011102D" w:rsidRDefault="0038030D" w:rsidP="00D80EE3">
            <w:pPr>
              <w:pStyle w:val="NoSpacing"/>
              <w:rPr>
                <w:sz w:val="20"/>
                <w:highlight w:val="yellow"/>
              </w:rPr>
            </w:pPr>
            <w:r>
              <w:rPr>
                <w:sz w:val="20"/>
              </w:rPr>
              <w:t xml:space="preserve"> </w:t>
            </w:r>
            <w:r w:rsidRPr="0038030D">
              <w:rPr>
                <w:sz w:val="20"/>
              </w:rPr>
              <w:t>Inclusion Manager</w:t>
            </w:r>
            <w:r>
              <w:rPr>
                <w:sz w:val="20"/>
              </w:rPr>
              <w:t xml:space="preserve"> to support </w:t>
            </w:r>
            <w:r w:rsidR="0040393D">
              <w:rPr>
                <w:sz w:val="20"/>
              </w:rPr>
              <w:t>disadvantaged pupils and families across school. The IM has responsibility for line managing the staff within the pastoral team, works alongside the SEND coordinator and DSL and HT. Key focus on CP, transition, family support, interventions for behaviour support.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11102D" w:rsidRDefault="00610CD3" w:rsidP="00874C6F">
            <w:pPr>
              <w:jc w:val="center"/>
              <w:rPr>
                <w:sz w:val="20"/>
                <w:highlight w:val="yellow"/>
              </w:rPr>
            </w:pPr>
            <w:r>
              <w:rPr>
                <w:sz w:val="20"/>
              </w:rPr>
              <w:t>£27</w:t>
            </w:r>
            <w:r w:rsidR="00F30CD7" w:rsidRPr="00F30CD7">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40393D" w:rsidRDefault="00610CD3" w:rsidP="00D87CC1">
            <w:pPr>
              <w:jc w:val="center"/>
              <w:rPr>
                <w:b/>
                <w:sz w:val="20"/>
                <w:highlight w:val="yellow"/>
              </w:rPr>
            </w:pPr>
            <w:r>
              <w:rPr>
                <w:b/>
                <w:sz w:val="20"/>
              </w:rPr>
              <w:t>Continued</w:t>
            </w:r>
            <w:r w:rsidR="0040393D" w:rsidRPr="0040393D">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F30CD7" w:rsidP="00510AE7">
            <w:pPr>
              <w:pStyle w:val="NoSpacing"/>
              <w:jc w:val="center"/>
              <w:rPr>
                <w:sz w:val="20"/>
                <w:highlight w:val="yellow"/>
              </w:rPr>
            </w:pPr>
            <w:r w:rsidRPr="00F30CD7">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40393D" w:rsidP="00F94CF8">
            <w:pPr>
              <w:pStyle w:val="NoSpacing"/>
              <w:jc w:val="center"/>
              <w:rPr>
                <w:sz w:val="20"/>
                <w:highlight w:val="yellow"/>
              </w:rPr>
            </w:pPr>
            <w:r w:rsidRPr="0040393D">
              <w:rPr>
                <w:sz w:val="20"/>
              </w:rPr>
              <w:t>C,D,H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F30CD7" w:rsidP="00510AE7">
            <w:pPr>
              <w:spacing w:after="0" w:line="240" w:lineRule="auto"/>
              <w:jc w:val="center"/>
              <w:rPr>
                <w:sz w:val="20"/>
                <w:szCs w:val="20"/>
                <w:highlight w:val="yellow"/>
              </w:rPr>
            </w:pPr>
            <w:r w:rsidRPr="00F30CD7">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02D" w:rsidRDefault="0011102D" w:rsidP="009F7C3F">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77732" w:rsidP="00ED04F8">
            <w:pPr>
              <w:spacing w:after="0" w:line="240" w:lineRule="auto"/>
              <w:jc w:val="center"/>
              <w:rPr>
                <w:b/>
                <w:sz w:val="20"/>
                <w:szCs w:val="20"/>
              </w:rPr>
            </w:pPr>
            <w:r>
              <w:rPr>
                <w:b/>
                <w:sz w:val="20"/>
                <w:szCs w:val="20"/>
              </w:rPr>
              <w:t>2</w:t>
            </w:r>
            <w:r w:rsidR="00ED04F8">
              <w:rPr>
                <w:b/>
                <w:sz w:val="20"/>
                <w:szCs w:val="20"/>
              </w:rPr>
              <w:t>,</w:t>
            </w:r>
            <w:r w:rsidR="00D87CC1">
              <w:rPr>
                <w:b/>
                <w:sz w:val="20"/>
                <w:szCs w:val="20"/>
              </w:rPr>
              <w:t xml:space="preserve">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E77732" w:rsidP="000F25A5">
            <w:pPr>
              <w:pStyle w:val="NoSpacing"/>
              <w:rPr>
                <w:i/>
                <w:sz w:val="20"/>
              </w:rPr>
            </w:pPr>
            <w:r w:rsidRPr="0005608C">
              <w:rPr>
                <w:sz w:val="20"/>
              </w:rPr>
              <w:t>Pastoral team</w:t>
            </w:r>
            <w:r w:rsidR="00F30CD7">
              <w:rPr>
                <w:sz w:val="20"/>
              </w:rPr>
              <w:t xml:space="preserve"> of 4</w:t>
            </w:r>
            <w:r w:rsidRPr="0005608C">
              <w:rPr>
                <w:sz w:val="20"/>
              </w:rPr>
              <w:t xml:space="preserve"> develop intervention and nurture activities to support</w:t>
            </w:r>
            <w:r w:rsidR="00EE2CD1">
              <w:rPr>
                <w:sz w:val="20"/>
              </w:rPr>
              <w:t xml:space="preserve"> children with SEBD challenges</w:t>
            </w:r>
            <w:r w:rsidR="008E05E1">
              <w:rPr>
                <w:sz w:val="20"/>
              </w:rPr>
              <w:t xml:space="preserve"> and disadvantaged pupils</w:t>
            </w:r>
            <w:r w:rsidRPr="0005608C">
              <w:rPr>
                <w:sz w:val="20"/>
              </w:rPr>
              <w:t xml:space="preserve">. Aim to reduce behaviour incidents and ensure all children </w:t>
            </w:r>
            <w:r w:rsidR="008E05E1">
              <w:rPr>
                <w:sz w:val="20"/>
              </w:rPr>
              <w:t>have the opportunity to access</w:t>
            </w:r>
            <w:r w:rsidRPr="0005608C">
              <w:rPr>
                <w:sz w:val="20"/>
              </w:rPr>
              <w:t xml:space="preserve"> all aspects of learning</w:t>
            </w:r>
            <w:r w:rsidR="00B95371">
              <w:rPr>
                <w:sz w:val="20"/>
              </w:rPr>
              <w:t>.</w:t>
            </w:r>
          </w:p>
          <w:p w:rsidR="00E77732" w:rsidRPr="0005608C" w:rsidRDefault="00E77732" w:rsidP="000F25A5">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186EC3" w:rsidP="00874C6F">
            <w:pPr>
              <w:jc w:val="center"/>
              <w:rPr>
                <w:sz w:val="20"/>
              </w:rPr>
            </w:pPr>
            <w:r>
              <w:rPr>
                <w:sz w:val="20"/>
              </w:rPr>
              <w:t>£5</w:t>
            </w:r>
            <w:r w:rsidR="006311D1">
              <w:rPr>
                <w:sz w:val="20"/>
              </w:rPr>
              <w:t>0</w:t>
            </w:r>
            <w:r w:rsidR="00AB30C0">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 xml:space="preserve">Whole school </w:t>
            </w:r>
          </w:p>
          <w:p w:rsidR="00D87CC1"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E05E1" w:rsidP="00510AE7">
            <w:pPr>
              <w:pStyle w:val="NoSpacing"/>
              <w:jc w:val="center"/>
              <w:rPr>
                <w:sz w:val="20"/>
              </w:rPr>
            </w:pPr>
            <w:r>
              <w:rPr>
                <w:sz w:val="20"/>
              </w:rPr>
              <w:t>A,</w:t>
            </w:r>
            <w:r w:rsidR="00F94CF8">
              <w:rPr>
                <w:sz w:val="20"/>
              </w:rPr>
              <w:t>C</w:t>
            </w:r>
            <w:r>
              <w:rPr>
                <w:sz w:val="20"/>
              </w:rPr>
              <w:t>,E,H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72BA" w:rsidRDefault="00B672BA" w:rsidP="003B40AA">
            <w:pPr>
              <w:spacing w:after="0" w:line="240" w:lineRule="auto"/>
              <w:rPr>
                <w:sz w:val="20"/>
                <w:szCs w:val="20"/>
              </w:rPr>
            </w:pPr>
          </w:p>
        </w:tc>
      </w:tr>
      <w:tr w:rsidR="00D80EE3"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EE3" w:rsidRDefault="00D80EE3">
            <w:pPr>
              <w:spacing w:after="0" w:line="240" w:lineRule="auto"/>
              <w:jc w:val="center"/>
              <w:rPr>
                <w:b/>
                <w:sz w:val="20"/>
                <w:szCs w:val="20"/>
              </w:rPr>
            </w:pPr>
            <w:r>
              <w:rPr>
                <w:b/>
                <w:sz w:val="20"/>
                <w:szCs w:val="20"/>
              </w:rPr>
              <w:t>2 &amp;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0EE3" w:rsidRPr="0005608C" w:rsidRDefault="00D80EE3" w:rsidP="000F25A5">
            <w:pPr>
              <w:pStyle w:val="NoSpacing"/>
              <w:rPr>
                <w:sz w:val="20"/>
              </w:rPr>
            </w:pPr>
            <w:r>
              <w:rPr>
                <w:sz w:val="20"/>
              </w:rPr>
              <w:t xml:space="preserve">Learning mentor to provide small group breakfast club </w:t>
            </w:r>
            <w:r w:rsidR="00186EC3">
              <w:rPr>
                <w:sz w:val="20"/>
              </w:rPr>
              <w:t xml:space="preserve">provision </w:t>
            </w:r>
            <w:r w:rsidR="00340219">
              <w:rPr>
                <w:sz w:val="20"/>
              </w:rPr>
              <w:t xml:space="preserve">on Monday morning </w:t>
            </w:r>
            <w:r>
              <w:rPr>
                <w:sz w:val="20"/>
              </w:rPr>
              <w:t>to support</w:t>
            </w:r>
            <w:r w:rsidR="00340219">
              <w:rPr>
                <w:sz w:val="20"/>
              </w:rPr>
              <w:t xml:space="preserve"> and settle</w:t>
            </w:r>
            <w:r>
              <w:rPr>
                <w:sz w:val="20"/>
              </w:rPr>
              <w:t xml:space="preserve"> children</w:t>
            </w:r>
            <w:r w:rsidR="00340219">
              <w:rPr>
                <w:sz w:val="20"/>
              </w:rPr>
              <w:t xml:space="preserve"> with SEMH after the weekend</w:t>
            </w:r>
            <w:r>
              <w:rPr>
                <w:sz w:val="20"/>
              </w:rPr>
              <w:t xml:space="preserve"> and those children who may not otherwise have </w:t>
            </w:r>
            <w:r w:rsidR="00340219">
              <w:rPr>
                <w:sz w:val="20"/>
              </w:rPr>
              <w:t>access to breakfast</w:t>
            </w:r>
            <w:r>
              <w:rPr>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0EE3" w:rsidRPr="00186EC3" w:rsidRDefault="00FC7A0F" w:rsidP="00874C6F">
            <w:pPr>
              <w:jc w:val="center"/>
              <w:rPr>
                <w:sz w:val="20"/>
                <w:highlight w:val="yellow"/>
              </w:rPr>
            </w:pPr>
            <w:r>
              <w:rPr>
                <w:sz w:val="20"/>
              </w:rPr>
              <w:t>£</w:t>
            </w:r>
            <w:r w:rsidR="008A7B81" w:rsidRPr="00186EC3">
              <w:rPr>
                <w:sz w:val="20"/>
              </w:rPr>
              <w:t>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0EE3" w:rsidRDefault="00D80EE3" w:rsidP="00D87CC1">
            <w:pPr>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D80EE3" w:rsidP="00510AE7">
            <w:pPr>
              <w:pStyle w:val="NoSpacing"/>
              <w:jc w:val="center"/>
              <w:rPr>
                <w:sz w:val="20"/>
              </w:rPr>
            </w:pPr>
            <w:r>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F94CF8" w:rsidP="00510AE7">
            <w:pPr>
              <w:pStyle w:val="NoSpacing"/>
              <w:jc w:val="center"/>
              <w:rPr>
                <w:sz w:val="20"/>
              </w:rPr>
            </w:pPr>
            <w:r>
              <w:rPr>
                <w:sz w:val="20"/>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D80EE3"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219" w:rsidRDefault="00340219" w:rsidP="009F7C3F">
            <w:pPr>
              <w:spacing w:after="0" w:line="240" w:lineRule="auto"/>
              <w:rPr>
                <w:sz w:val="20"/>
                <w:szCs w:val="20"/>
              </w:rPr>
            </w:pPr>
            <w:r>
              <w:rPr>
                <w:sz w:val="20"/>
                <w:szCs w:val="20"/>
              </w:rPr>
              <w:t>.</w:t>
            </w: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AA73D8" w:rsidP="00340219">
            <w:pPr>
              <w:pStyle w:val="NoSpacing"/>
              <w:rPr>
                <w:sz w:val="20"/>
              </w:rPr>
            </w:pPr>
            <w:r>
              <w:rPr>
                <w:sz w:val="20"/>
              </w:rPr>
              <w:t>Broad, balanced</w:t>
            </w:r>
            <w:r w:rsidR="00D87CC1" w:rsidRPr="0005608C">
              <w:rPr>
                <w:sz w:val="20"/>
              </w:rPr>
              <w:t xml:space="preserve"> curriculum  - </w:t>
            </w:r>
            <w:r w:rsidR="000F25A5" w:rsidRPr="0005608C">
              <w:rPr>
                <w:sz w:val="20"/>
              </w:rPr>
              <w:t xml:space="preserve">contribution made to fund  </w:t>
            </w:r>
            <w:r w:rsidR="00D80EE3">
              <w:rPr>
                <w:sz w:val="20"/>
              </w:rPr>
              <w:t>outdoor learning including Forest Schools, horse riding,</w:t>
            </w:r>
            <w:r w:rsidR="009817B1">
              <w:rPr>
                <w:sz w:val="20"/>
              </w:rPr>
              <w:t xml:space="preserve"> archery </w:t>
            </w:r>
            <w:r w:rsidR="00A049B9">
              <w:rPr>
                <w:sz w:val="20"/>
              </w:rPr>
              <w:t>, high ropes, mountain biking</w:t>
            </w:r>
            <w:r w:rsidR="00340219">
              <w:rPr>
                <w:sz w:val="20"/>
              </w:rPr>
              <w:t>, film experience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541E35" w:rsidP="00874C6F">
            <w:pPr>
              <w:jc w:val="center"/>
              <w:rPr>
                <w:sz w:val="20"/>
              </w:rPr>
            </w:pPr>
            <w:r>
              <w:rPr>
                <w:sz w:val="20"/>
              </w:rPr>
              <w:t>£</w:t>
            </w:r>
            <w:r w:rsidR="00655337">
              <w:rPr>
                <w:sz w:val="20"/>
              </w:rPr>
              <w:t>5,063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8E05E1" w:rsidP="00D87CC1">
            <w:pPr>
              <w:jc w:val="center"/>
              <w:rPr>
                <w:sz w:val="20"/>
              </w:rPr>
            </w:pPr>
            <w:r>
              <w:rPr>
                <w:b/>
                <w:sz w:val="20"/>
                <w:szCs w:val="20"/>
              </w:rPr>
              <w:t xml:space="preserve">Continued </w:t>
            </w:r>
            <w:r w:rsidR="00D87CC1">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Whole school</w:t>
            </w:r>
          </w:p>
          <w:p w:rsidR="00D87CC1" w:rsidRPr="007E07D6"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F94CF8" w:rsidP="00510AE7">
            <w:pPr>
              <w:pStyle w:val="NoSpacing"/>
              <w:jc w:val="center"/>
              <w:rPr>
                <w:sz w:val="20"/>
              </w:rPr>
            </w:pPr>
            <w:r>
              <w:rPr>
                <w:sz w:val="20"/>
              </w:rPr>
              <w:t>H &amp;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A2A" w:rsidRDefault="00B30A2A" w:rsidP="00B30A2A">
            <w:pPr>
              <w:spacing w:after="0" w:line="240" w:lineRule="auto"/>
              <w:jc w:val="center"/>
              <w:rPr>
                <w:sz w:val="20"/>
                <w:szCs w:val="20"/>
              </w:rPr>
            </w:pPr>
            <w:r>
              <w:rPr>
                <w:sz w:val="20"/>
                <w:szCs w:val="20"/>
              </w:rPr>
              <w:t>SLT</w:t>
            </w:r>
          </w:p>
          <w:p w:rsidR="00D87CC1" w:rsidRDefault="00B30A2A" w:rsidP="00B30A2A">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502D5" w:rsidP="00AA73D8">
            <w:pPr>
              <w:spacing w:after="0" w:line="240" w:lineRule="auto"/>
              <w:rPr>
                <w:sz w:val="20"/>
                <w:szCs w:val="20"/>
              </w:rPr>
            </w:pPr>
            <w:r>
              <w:rPr>
                <w:sz w:val="20"/>
                <w:szCs w:val="20"/>
              </w:rPr>
              <w:t>.</w:t>
            </w:r>
          </w:p>
        </w:tc>
      </w:tr>
      <w:tr w:rsidR="00D87CC1" w:rsidTr="003B40AA">
        <w:trPr>
          <w:trHeight w:val="155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8E05E1">
            <w:pPr>
              <w:spacing w:after="0" w:line="240" w:lineRule="auto"/>
              <w:jc w:val="center"/>
              <w:rPr>
                <w:b/>
                <w:sz w:val="20"/>
                <w:szCs w:val="20"/>
              </w:rPr>
            </w:pPr>
            <w:r>
              <w:rPr>
                <w:b/>
                <w:sz w:val="20"/>
                <w:szCs w:val="20"/>
              </w:rPr>
              <w:t>1,3,4,7</w:t>
            </w: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C2CF2" w:rsidRPr="0005608C" w:rsidRDefault="008E05E1" w:rsidP="00610CD3">
            <w:pPr>
              <w:pStyle w:val="NoSpacing"/>
              <w:rPr>
                <w:sz w:val="20"/>
              </w:rPr>
            </w:pPr>
            <w:r>
              <w:rPr>
                <w:sz w:val="20"/>
              </w:rPr>
              <w:t xml:space="preserve">High priority for  staff CPD to meet the needs of all children with a focus on; </w:t>
            </w:r>
            <w:r w:rsidR="00610CD3">
              <w:rPr>
                <w:sz w:val="20"/>
              </w:rPr>
              <w:t xml:space="preserve">Dialogic Talk, curriculum development, </w:t>
            </w:r>
            <w:r>
              <w:rPr>
                <w:sz w:val="20"/>
              </w:rPr>
              <w:t>safe</w:t>
            </w:r>
            <w:r w:rsidR="00610CD3">
              <w:rPr>
                <w:sz w:val="20"/>
              </w:rPr>
              <w:t>guarding, GD maths and English.</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49B9" w:rsidRPr="0091101F" w:rsidRDefault="00186EC3" w:rsidP="008E05E1">
            <w:pPr>
              <w:jc w:val="center"/>
              <w:rPr>
                <w:sz w:val="20"/>
              </w:rPr>
            </w:pPr>
            <w:r>
              <w:rPr>
                <w:sz w:val="20"/>
              </w:rPr>
              <w:t>£</w:t>
            </w:r>
            <w:r w:rsidR="004E31A6">
              <w:rPr>
                <w:sz w:val="20"/>
              </w:rPr>
              <w:t>1</w:t>
            </w:r>
            <w:r w:rsidR="006311D1">
              <w:rPr>
                <w:sz w:val="20"/>
              </w:rPr>
              <w:t>9</w:t>
            </w:r>
            <w:r w:rsidR="004E31A6">
              <w:rPr>
                <w:sz w:val="20"/>
              </w:rPr>
              <w:t>,</w:t>
            </w:r>
            <w:r w:rsidR="006311D1">
              <w:rPr>
                <w:sz w:val="20"/>
              </w:rPr>
              <w:t>790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D87CC1" w:rsidRDefault="00B95371" w:rsidP="00D87CC1">
            <w:pPr>
              <w:jc w:val="center"/>
              <w:rPr>
                <w:b/>
                <w:sz w:val="20"/>
              </w:rPr>
            </w:pPr>
            <w:r>
              <w:rPr>
                <w:b/>
                <w:sz w:val="20"/>
              </w:rPr>
              <w:t xml:space="preserve"> New</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8E05E1" w:rsidP="00510AE7">
            <w:pPr>
              <w:pStyle w:val="NoSpacing"/>
              <w:jc w:val="center"/>
              <w:rPr>
                <w:sz w:val="20"/>
              </w:rPr>
            </w:pPr>
            <w:r>
              <w:rPr>
                <w:sz w:val="20"/>
              </w:rPr>
              <w:t>A,B,E,F,G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606" w:rsidRDefault="003E0606" w:rsidP="003F41FB">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3F41FB">
            <w:pPr>
              <w:spacing w:after="0" w:line="240" w:lineRule="auto"/>
              <w:jc w:val="center"/>
              <w:rPr>
                <w:b/>
                <w:sz w:val="20"/>
                <w:szCs w:val="20"/>
              </w:rPr>
            </w:pPr>
            <w:r>
              <w:rPr>
                <w:b/>
                <w:sz w:val="20"/>
                <w:szCs w:val="20"/>
              </w:rPr>
              <w:t>3</w:t>
            </w:r>
            <w:r w:rsidR="003F41FB">
              <w:rPr>
                <w:b/>
                <w:sz w:val="20"/>
                <w:szCs w:val="20"/>
              </w:rPr>
              <w:t>,4,5,6</w:t>
            </w:r>
            <w:r w:rsidR="00FB1283">
              <w:rPr>
                <w:b/>
                <w:sz w:val="20"/>
                <w:szCs w:val="20"/>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D87CC1">
            <w:pPr>
              <w:spacing w:after="0" w:line="240" w:lineRule="auto"/>
              <w:rPr>
                <w:sz w:val="20"/>
                <w:szCs w:val="20"/>
              </w:rPr>
            </w:pPr>
            <w:r w:rsidRPr="0005608C">
              <w:rPr>
                <w:sz w:val="20"/>
                <w:szCs w:val="20"/>
              </w:rPr>
              <w:t xml:space="preserve">Improvements to </w:t>
            </w:r>
            <w:r w:rsidR="000F25A5" w:rsidRPr="0005608C">
              <w:rPr>
                <w:sz w:val="20"/>
                <w:szCs w:val="20"/>
              </w:rPr>
              <w:t xml:space="preserve">quality </w:t>
            </w:r>
            <w:r w:rsidR="00874C6F" w:rsidRPr="0005608C">
              <w:rPr>
                <w:sz w:val="20"/>
                <w:szCs w:val="20"/>
              </w:rPr>
              <w:t xml:space="preserve">first </w:t>
            </w:r>
            <w:r w:rsidRPr="0005608C">
              <w:rPr>
                <w:sz w:val="20"/>
                <w:szCs w:val="20"/>
              </w:rPr>
              <w:t>teaching secured by the employment of outstanding practitioners, ri</w:t>
            </w:r>
            <w:r w:rsidR="008E05E1">
              <w:rPr>
                <w:sz w:val="20"/>
                <w:szCs w:val="20"/>
              </w:rPr>
              <w:t xml:space="preserve">gorous </w:t>
            </w:r>
            <w:r w:rsidR="008E05E1">
              <w:rPr>
                <w:sz w:val="20"/>
                <w:szCs w:val="20"/>
              </w:rPr>
              <w:lastRenderedPageBreak/>
              <w:t xml:space="preserve">internal monitoring, </w:t>
            </w:r>
            <w:r w:rsidRPr="0005608C">
              <w:rPr>
                <w:sz w:val="20"/>
                <w:szCs w:val="20"/>
              </w:rPr>
              <w:t xml:space="preserve"> </w:t>
            </w:r>
            <w:r w:rsidR="000F25A5" w:rsidRPr="0005608C">
              <w:rPr>
                <w:sz w:val="20"/>
                <w:szCs w:val="20"/>
              </w:rPr>
              <w:t xml:space="preserve">school to school support within the </w:t>
            </w:r>
            <w:r w:rsidR="00354A2B">
              <w:rPr>
                <w:sz w:val="20"/>
                <w:szCs w:val="20"/>
              </w:rPr>
              <w:t>West 1</w:t>
            </w:r>
            <w:r w:rsidR="000F25A5" w:rsidRPr="0005608C">
              <w:rPr>
                <w:sz w:val="20"/>
                <w:szCs w:val="20"/>
              </w:rPr>
              <w:t>LAP</w:t>
            </w:r>
            <w:r w:rsidR="0065234B" w:rsidRPr="0005608C">
              <w:rPr>
                <w:sz w:val="20"/>
                <w:szCs w:val="20"/>
              </w:rPr>
              <w:t>, Addi</w:t>
            </w:r>
            <w:r w:rsidR="00610CD3">
              <w:rPr>
                <w:sz w:val="20"/>
                <w:szCs w:val="20"/>
              </w:rPr>
              <w:t>tional support from external curriculum consultant</w:t>
            </w:r>
            <w:r w:rsidR="00871306">
              <w:rPr>
                <w:sz w:val="20"/>
                <w:szCs w:val="20"/>
              </w:rPr>
              <w:t xml:space="preserve"> and LA SIO.</w:t>
            </w:r>
          </w:p>
          <w:p w:rsidR="00D87CC1" w:rsidRPr="0005608C" w:rsidRDefault="00D87CC1">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FB1283" w:rsidP="00FB1283">
            <w:pPr>
              <w:spacing w:after="0" w:line="240" w:lineRule="auto"/>
              <w:rPr>
                <w:sz w:val="20"/>
                <w:szCs w:val="20"/>
              </w:rPr>
            </w:pPr>
            <w:r>
              <w:rPr>
                <w:sz w:val="20"/>
              </w:rPr>
              <w:lastRenderedPageBreak/>
              <w:t xml:space="preserve"> </w:t>
            </w:r>
            <w:r w:rsidR="004E31A6">
              <w:rPr>
                <w:sz w:val="20"/>
              </w:rPr>
              <w:t>£7</w:t>
            </w:r>
            <w:r w:rsidR="00A411E1">
              <w:rPr>
                <w:sz w:val="20"/>
              </w:rPr>
              <w:t>2</w:t>
            </w:r>
            <w:r w:rsidR="00354A2B">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FB1283" w:rsidRDefault="00FB1283" w:rsidP="00FB1283">
            <w:pPr>
              <w:jc w:val="center"/>
              <w:rPr>
                <w:b/>
                <w:sz w:val="20"/>
              </w:rPr>
            </w:pPr>
            <w:r>
              <w:rPr>
                <w:b/>
                <w:sz w:val="20"/>
              </w:rPr>
              <w:t xml:space="preserve"> </w:t>
            </w:r>
            <w:r w:rsidR="00D87CC1" w:rsidRPr="00F17E95">
              <w:rPr>
                <w:b/>
                <w:sz w:val="20"/>
              </w:rPr>
              <w:t>Continued</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D87CC1" w:rsidRPr="007E07D6" w:rsidRDefault="00D87CC1" w:rsidP="00510AE7">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lastRenderedPageBreak/>
              <w:t>A, B</w:t>
            </w:r>
            <w:r w:rsidR="00F94CF8">
              <w:rPr>
                <w:sz w:val="20"/>
              </w:rPr>
              <w:t>, E,</w:t>
            </w:r>
            <w:r>
              <w:rPr>
                <w:sz w:val="20"/>
              </w:rPr>
              <w:t xml:space="preserve"> F</w:t>
            </w:r>
            <w:r w:rsidR="00F94CF8">
              <w:rPr>
                <w:sz w:val="20"/>
              </w:rPr>
              <w:t xml:space="preserve"> &amp;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606" w:rsidRDefault="003E0606" w:rsidP="00AA73D8">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 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rPr>
            </w:pPr>
            <w:r>
              <w:rPr>
                <w:sz w:val="20"/>
              </w:rPr>
              <w:t>Clear expectations set by school’s assessment system – children understand their next steps for learning</w:t>
            </w:r>
            <w:r w:rsidR="00F1697E">
              <w:rPr>
                <w:sz w:val="20"/>
              </w:rPr>
              <w:t>.</w:t>
            </w:r>
            <w:r w:rsidR="0065234B">
              <w:rPr>
                <w:sz w:val="20"/>
              </w:rPr>
              <w:t xml:space="preserve"> </w:t>
            </w:r>
          </w:p>
          <w:p w:rsidR="0065234B" w:rsidRDefault="0065234B">
            <w:pPr>
              <w:spacing w:after="0" w:line="240" w:lineRule="auto"/>
              <w:rPr>
                <w:sz w:val="20"/>
                <w:szCs w:val="20"/>
              </w:rPr>
            </w:pPr>
          </w:p>
          <w:p w:rsidR="00610CD3" w:rsidRDefault="00610CD3">
            <w:pPr>
              <w:spacing w:after="0" w:line="240" w:lineRule="auto"/>
              <w:rPr>
                <w:sz w:val="20"/>
                <w:szCs w:val="20"/>
              </w:rPr>
            </w:pPr>
          </w:p>
          <w:p w:rsidR="00610CD3" w:rsidRDefault="00610CD3">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1D0E58" w:rsidP="00874C6F">
            <w:pPr>
              <w:spacing w:after="0" w:line="240" w:lineRule="auto"/>
              <w:jc w:val="center"/>
              <w:rPr>
                <w:sz w:val="20"/>
                <w:szCs w:val="20"/>
              </w:rPr>
            </w:pPr>
            <w:r>
              <w:rPr>
                <w:sz w:val="20"/>
                <w:szCs w:val="20"/>
              </w:rPr>
              <w:t>6</w:t>
            </w:r>
            <w:r w:rsidR="00A5429C">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874C6F">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D87CC1" w:rsidRPr="007E07D6" w:rsidRDefault="00D87CC1"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w:t>
            </w:r>
            <w:r w:rsidR="00F94CF8">
              <w:rPr>
                <w:sz w:val="20"/>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925" w:rsidRDefault="00141925" w:rsidP="003B40AA">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 xml:space="preserve">TARGETED STRATEGIES FOR UNDER-PERFORMING PP PUPILS </w:t>
            </w: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D04F8">
            <w:pPr>
              <w:spacing w:after="0" w:line="240" w:lineRule="auto"/>
              <w:jc w:val="center"/>
              <w:rPr>
                <w:b/>
                <w:sz w:val="20"/>
                <w:szCs w:val="20"/>
              </w:rPr>
            </w:pPr>
            <w:r>
              <w:rPr>
                <w:b/>
                <w:sz w:val="20"/>
                <w:szCs w:val="20"/>
              </w:rPr>
              <w:t>1,6,7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rsidP="00525C70">
            <w:pPr>
              <w:spacing w:after="0" w:line="240" w:lineRule="auto"/>
              <w:rPr>
                <w:sz w:val="20"/>
                <w:szCs w:val="20"/>
              </w:rPr>
            </w:pPr>
            <w:r>
              <w:rPr>
                <w:sz w:val="20"/>
                <w:szCs w:val="20"/>
              </w:rPr>
              <w:t>Focus strategies for tracking PP – data analysis,</w:t>
            </w:r>
            <w:r w:rsidR="00ED04F8">
              <w:rPr>
                <w:sz w:val="20"/>
                <w:szCs w:val="20"/>
              </w:rPr>
              <w:t xml:space="preserve"> 3</w:t>
            </w:r>
            <w:r w:rsidR="00525C70">
              <w:rPr>
                <w:sz w:val="20"/>
                <w:szCs w:val="20"/>
              </w:rPr>
              <w:t xml:space="preserve">x year </w:t>
            </w:r>
            <w:r>
              <w:rPr>
                <w:sz w:val="20"/>
                <w:szCs w:val="20"/>
              </w:rPr>
              <w:t xml:space="preserve"> progress meetings with senior leader</w:t>
            </w:r>
            <w:r w:rsidR="00525C70">
              <w:rPr>
                <w:sz w:val="20"/>
                <w:szCs w:val="20"/>
              </w:rPr>
              <w:t>s</w:t>
            </w:r>
            <w:r>
              <w:rPr>
                <w:sz w:val="20"/>
                <w:szCs w:val="20"/>
              </w:rPr>
              <w:t xml:space="preserve"> focused on PP </w:t>
            </w:r>
            <w:r w:rsidR="00ED04F8">
              <w:rPr>
                <w:sz w:val="20"/>
                <w:szCs w:val="20"/>
              </w:rPr>
              <w:t xml:space="preserve">– ongoing CPD for staff in the effective use of </w:t>
            </w:r>
            <w:r w:rsidR="00525C70">
              <w:rPr>
                <w:sz w:val="20"/>
                <w:szCs w:val="20"/>
              </w:rPr>
              <w:t xml:space="preserve"> Target Tracker and release teachers as cohort to enable planning for interventions and combined outcomes for PP at EXS and GDS.</w:t>
            </w:r>
          </w:p>
          <w:p w:rsidR="00525C70" w:rsidRDefault="00525C70" w:rsidP="00525C70">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411E1" w:rsidP="00874C6F">
            <w:pPr>
              <w:spacing w:after="0" w:line="240" w:lineRule="auto"/>
              <w:jc w:val="center"/>
              <w:rPr>
                <w:sz w:val="20"/>
                <w:szCs w:val="20"/>
              </w:rPr>
            </w:pPr>
            <w:r>
              <w:rPr>
                <w:sz w:val="20"/>
                <w:szCs w:val="20"/>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A5429C">
            <w:pPr>
              <w:spacing w:after="0" w:line="240" w:lineRule="auto"/>
              <w:jc w:val="center"/>
              <w:rPr>
                <w:b/>
                <w:sz w:val="20"/>
                <w:szCs w:val="20"/>
              </w:rPr>
            </w:pPr>
            <w:r>
              <w:rPr>
                <w:b/>
                <w:sz w:val="20"/>
                <w:szCs w:val="20"/>
              </w:rPr>
              <w:t xml:space="preserve">Continued </w:t>
            </w:r>
            <w:r w:rsidR="00D87CC1" w:rsidRPr="00D87CC1">
              <w:rPr>
                <w:b/>
                <w:sz w:val="20"/>
                <w:szCs w:val="20"/>
              </w:rPr>
              <w:t>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F94CF8">
            <w:pPr>
              <w:spacing w:after="0" w:line="240" w:lineRule="auto"/>
              <w:jc w:val="center"/>
              <w:rPr>
                <w:sz w:val="20"/>
                <w:szCs w:val="20"/>
              </w:rPr>
            </w:pPr>
            <w:r>
              <w:rPr>
                <w:sz w:val="20"/>
                <w:szCs w:val="20"/>
              </w:rPr>
              <w:t>A</w:t>
            </w:r>
            <w:r w:rsidR="00F94CF8">
              <w:rPr>
                <w:sz w:val="20"/>
                <w:szCs w:val="20"/>
              </w:rPr>
              <w:t>,B,E</w:t>
            </w:r>
            <w:r w:rsidR="00FB1283">
              <w:rPr>
                <w:sz w:val="20"/>
                <w:szCs w:val="20"/>
              </w:rPr>
              <w:t>,</w:t>
            </w:r>
            <w:r>
              <w:rPr>
                <w:sz w:val="20"/>
                <w:szCs w:val="20"/>
              </w:rPr>
              <w:t xml:space="preserve"> F</w:t>
            </w:r>
            <w:r w:rsidR="00FB1283">
              <w:rPr>
                <w:sz w:val="20"/>
                <w:szCs w:val="20"/>
              </w:rPr>
              <w:t>,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CF8" w:rsidRDefault="00F94CF8" w:rsidP="00D3490F">
            <w:pPr>
              <w:spacing w:after="0" w:line="240" w:lineRule="auto"/>
              <w:rPr>
                <w:sz w:val="20"/>
                <w:szCs w:val="20"/>
              </w:rPr>
            </w:pPr>
          </w:p>
        </w:tc>
      </w:tr>
      <w:tr w:rsidR="00525C70"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655337">
            <w:pPr>
              <w:spacing w:after="0" w:line="240" w:lineRule="auto"/>
              <w:jc w:val="center"/>
              <w:rPr>
                <w:b/>
                <w:sz w:val="20"/>
                <w:szCs w:val="20"/>
              </w:rPr>
            </w:pPr>
            <w:r>
              <w:rPr>
                <w:b/>
                <w:sz w:val="20"/>
                <w:szCs w:val="20"/>
              </w:rPr>
              <w:t>1,</w:t>
            </w:r>
            <w:r w:rsidR="00525C70">
              <w:rPr>
                <w:b/>
                <w:sz w:val="20"/>
                <w:szCs w:val="20"/>
              </w:rPr>
              <w:t xml:space="preserve">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25C70" w:rsidRDefault="00525C70" w:rsidP="00525C70">
            <w:pPr>
              <w:spacing w:after="0" w:line="240" w:lineRule="auto"/>
              <w:rPr>
                <w:sz w:val="20"/>
                <w:szCs w:val="20"/>
              </w:rPr>
            </w:pPr>
            <w:r>
              <w:rPr>
                <w:sz w:val="20"/>
                <w:szCs w:val="20"/>
              </w:rPr>
              <w:t xml:space="preserve">Intervention groups for pupils </w:t>
            </w:r>
            <w:r w:rsidR="00871306">
              <w:rPr>
                <w:sz w:val="20"/>
                <w:szCs w:val="20"/>
              </w:rPr>
              <w:t>who have been identified at pupil progress meetings as not making expected or accelerated progress in line with their end of year target for reading, writing, maths and the Prime Areas of the Early Years Curriculum.</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5C70" w:rsidRDefault="00655337" w:rsidP="00874C6F">
            <w:pPr>
              <w:spacing w:after="0" w:line="240" w:lineRule="auto"/>
              <w:jc w:val="center"/>
              <w:rPr>
                <w:sz w:val="20"/>
                <w:szCs w:val="20"/>
              </w:rPr>
            </w:pPr>
            <w:r>
              <w:rPr>
                <w:sz w:val="20"/>
                <w:szCs w:val="20"/>
              </w:rPr>
              <w:t>£2</w:t>
            </w:r>
            <w:r w:rsidR="00A411E1" w:rsidRPr="00186EC3">
              <w:rPr>
                <w:sz w:val="20"/>
                <w:szCs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5C70" w:rsidRDefault="00871306" w:rsidP="00A5429C">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5C70"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871306" w:rsidP="00AC2EFA">
            <w:pPr>
              <w:spacing w:after="0" w:line="240" w:lineRule="auto"/>
              <w:rPr>
                <w:sz w:val="20"/>
                <w:szCs w:val="20"/>
              </w:rPr>
            </w:pPr>
            <w:r>
              <w:rPr>
                <w:sz w:val="20"/>
                <w:szCs w:val="20"/>
              </w:rPr>
              <w:t xml:space="preserve">      A,</w:t>
            </w:r>
            <w:r w:rsidR="00F94CF8">
              <w:rPr>
                <w:sz w:val="20"/>
                <w:szCs w:val="20"/>
              </w:rPr>
              <w:t xml:space="preserve">B, </w:t>
            </w:r>
            <w:r>
              <w:rPr>
                <w:sz w:val="20"/>
                <w:szCs w:val="20"/>
              </w:rPr>
              <w:t>E,F,G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871306">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525C70" w:rsidP="00D3490F">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23656" w:rsidRPr="0005608C" w:rsidRDefault="00D87CC1">
            <w:pPr>
              <w:spacing w:after="0" w:line="240" w:lineRule="auto"/>
              <w:rPr>
                <w:sz w:val="20"/>
                <w:szCs w:val="20"/>
              </w:rPr>
            </w:pPr>
            <w:r w:rsidRPr="0005608C">
              <w:rPr>
                <w:sz w:val="20"/>
                <w:szCs w:val="20"/>
              </w:rPr>
              <w:t xml:space="preserve">Catch up </w:t>
            </w:r>
            <w:r w:rsidR="00541E35">
              <w:rPr>
                <w:sz w:val="20"/>
                <w:szCs w:val="20"/>
              </w:rPr>
              <w:t xml:space="preserve">groups for phonics –  </w:t>
            </w:r>
            <w:r w:rsidR="000F25A5" w:rsidRPr="0005608C">
              <w:rPr>
                <w:sz w:val="20"/>
                <w:szCs w:val="20"/>
              </w:rPr>
              <w:t xml:space="preserve"> staff to work with targeted grou</w:t>
            </w:r>
            <w:r w:rsidR="004C1267" w:rsidRPr="0005608C">
              <w:rPr>
                <w:sz w:val="20"/>
                <w:szCs w:val="20"/>
              </w:rPr>
              <w:t xml:space="preserve">ps. All </w:t>
            </w:r>
            <w:r w:rsidR="00610CD3">
              <w:rPr>
                <w:sz w:val="20"/>
                <w:szCs w:val="20"/>
              </w:rPr>
              <w:t xml:space="preserve">targeted </w:t>
            </w:r>
            <w:r w:rsidR="004C1267" w:rsidRPr="0005608C">
              <w:rPr>
                <w:sz w:val="20"/>
                <w:szCs w:val="20"/>
              </w:rPr>
              <w:t xml:space="preserve">PP children to access </w:t>
            </w:r>
            <w:r w:rsidR="00871306">
              <w:rPr>
                <w:sz w:val="20"/>
                <w:szCs w:val="20"/>
              </w:rPr>
              <w:t xml:space="preserve"> additional phonic sessions </w:t>
            </w:r>
            <w:r w:rsidR="000F25A5" w:rsidRPr="0005608C">
              <w:rPr>
                <w:sz w:val="20"/>
                <w:szCs w:val="20"/>
              </w:rPr>
              <w:t xml:space="preserve"> week</w:t>
            </w:r>
            <w:r w:rsidR="00871306">
              <w:rPr>
                <w:sz w:val="20"/>
                <w:szCs w:val="20"/>
              </w:rPr>
              <w:t>ly</w:t>
            </w:r>
            <w:r w:rsidR="004C1267" w:rsidRPr="0005608C">
              <w:rPr>
                <w:sz w:val="20"/>
                <w:szCs w:val="20"/>
              </w:rPr>
              <w:t xml:space="preserve"> according to need</w:t>
            </w:r>
            <w:r w:rsidR="000F25A5" w:rsidRPr="0005608C">
              <w:rPr>
                <w:sz w:val="20"/>
                <w:szCs w:val="20"/>
              </w:rPr>
              <w:t>.</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5429C" w:rsidP="0065234B">
            <w:pPr>
              <w:spacing w:after="0" w:line="240" w:lineRule="auto"/>
              <w:jc w:val="center"/>
              <w:rPr>
                <w:sz w:val="20"/>
                <w:szCs w:val="20"/>
              </w:rPr>
            </w:pPr>
            <w:r>
              <w:rPr>
                <w:sz w:val="20"/>
                <w:szCs w:val="20"/>
              </w:rPr>
              <w:t>£</w:t>
            </w:r>
            <w:r w:rsidR="00655337">
              <w:rPr>
                <w:sz w:val="20"/>
                <w:szCs w:val="20"/>
              </w:rPr>
              <w:t>10</w:t>
            </w:r>
            <w:r w:rsidR="00541E35">
              <w:rPr>
                <w:sz w:val="20"/>
                <w:szCs w:val="20"/>
              </w:rPr>
              <w:t>,00</w:t>
            </w:r>
            <w:r w:rsidR="00C33AE0">
              <w:rPr>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5D7264">
            <w:pPr>
              <w:spacing w:after="0" w:line="240" w:lineRule="auto"/>
              <w:jc w:val="center"/>
              <w:rPr>
                <w:sz w:val="20"/>
                <w:szCs w:val="20"/>
              </w:rPr>
            </w:pPr>
          </w:p>
          <w:p w:rsidR="00871306" w:rsidRDefault="00871306" w:rsidP="005D7264">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871306" w:rsidP="002253CF">
            <w:pPr>
              <w:spacing w:after="0" w:line="240" w:lineRule="auto"/>
              <w:jc w:val="center"/>
              <w:rPr>
                <w:sz w:val="20"/>
                <w:szCs w:val="20"/>
              </w:rPr>
            </w:pPr>
            <w:r>
              <w:rPr>
                <w:sz w:val="20"/>
                <w:szCs w:val="20"/>
              </w:rPr>
              <w:t>A,</w:t>
            </w:r>
            <w:r w:rsidR="00D87CC1">
              <w:rPr>
                <w:sz w:val="20"/>
                <w:szCs w:val="20"/>
              </w:rPr>
              <w:t>B &amp; F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D04F8" w:rsidP="00ED04F8">
            <w:pPr>
              <w:spacing w:after="0" w:line="240" w:lineRule="auto"/>
              <w:jc w:val="center"/>
              <w:rPr>
                <w:sz w:val="20"/>
                <w:szCs w:val="20"/>
              </w:rPr>
            </w:pPr>
            <w:r>
              <w:rPr>
                <w:sz w:val="20"/>
                <w:szCs w:val="20"/>
              </w:rPr>
              <w:t xml:space="preserve">KS1 staff, </w:t>
            </w:r>
            <w:r w:rsidR="005D7264">
              <w:rPr>
                <w:sz w:val="20"/>
                <w:szCs w:val="20"/>
              </w:rPr>
              <w:t xml:space="preserve">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EE2" w:rsidRDefault="00401EE2" w:rsidP="00401EE2">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TARGETED SUPPORT FOR INDIVIDUAL PP PUPILS</w:t>
            </w:r>
          </w:p>
        </w:tc>
      </w:tr>
      <w:tr w:rsidR="0005608C" w:rsidTr="003B40AA">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655337">
            <w:pPr>
              <w:spacing w:after="0" w:line="240" w:lineRule="auto"/>
              <w:jc w:val="center"/>
              <w:rPr>
                <w:b/>
                <w:sz w:val="20"/>
                <w:szCs w:val="20"/>
              </w:rPr>
            </w:pPr>
            <w:r>
              <w:rPr>
                <w:b/>
                <w:sz w:val="20"/>
                <w:szCs w:val="20"/>
              </w:rPr>
              <w:t>2,</w:t>
            </w:r>
            <w:r w:rsidR="0005608C">
              <w:rPr>
                <w:b/>
                <w:sz w:val="20"/>
                <w:szCs w:val="20"/>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Default="00525C70" w:rsidP="00F23656">
            <w:pPr>
              <w:spacing w:after="0" w:line="240" w:lineRule="auto"/>
              <w:rPr>
                <w:sz w:val="20"/>
              </w:rPr>
            </w:pPr>
            <w:r>
              <w:rPr>
                <w:sz w:val="20"/>
              </w:rPr>
              <w:t>Subsidised</w:t>
            </w:r>
            <w:r w:rsidR="0005608C">
              <w:rPr>
                <w:sz w:val="20"/>
              </w:rPr>
              <w:t xml:space="preserve"> educational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A5429C" w:rsidP="00B41BC3">
            <w:pPr>
              <w:spacing w:after="0" w:line="240" w:lineRule="auto"/>
              <w:jc w:val="center"/>
              <w:rPr>
                <w:sz w:val="20"/>
                <w:szCs w:val="20"/>
              </w:rPr>
            </w:pPr>
            <w:r>
              <w:rPr>
                <w:sz w:val="20"/>
                <w:szCs w:val="20"/>
              </w:rPr>
              <w:t>£</w:t>
            </w:r>
            <w:r w:rsidR="00655337">
              <w:rPr>
                <w:sz w:val="20"/>
                <w:szCs w:val="20"/>
              </w:rPr>
              <w:t>2,0</w:t>
            </w:r>
            <w:r w:rsidR="00AB30C0">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Default="00A5429C" w:rsidP="0005608C">
            <w:pPr>
              <w:spacing w:after="0" w:line="240" w:lineRule="auto"/>
              <w:jc w:val="center"/>
              <w:rPr>
                <w:b/>
                <w:sz w:val="20"/>
                <w:szCs w:val="20"/>
              </w:rPr>
            </w:pPr>
            <w:r>
              <w:rPr>
                <w:b/>
                <w:sz w:val="20"/>
                <w:szCs w:val="20"/>
              </w:rPr>
              <w:t xml:space="preserve">Continued </w:t>
            </w:r>
            <w:r w:rsidR="0005608C" w:rsidRPr="003F653F">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DD1AFA" w:rsidP="0005608C">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rsidP="006B2E27">
            <w:pPr>
              <w:spacing w:after="0" w:line="240" w:lineRule="auto"/>
              <w:rPr>
                <w:sz w:val="20"/>
                <w:szCs w:val="20"/>
              </w:rPr>
            </w:pPr>
          </w:p>
        </w:tc>
      </w:tr>
      <w:tr w:rsidR="00AB30C0"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b/>
                <w:sz w:val="20"/>
                <w:szCs w:val="20"/>
              </w:rPr>
            </w:pPr>
            <w:r>
              <w:rPr>
                <w:b/>
                <w:sz w:val="20"/>
                <w:szCs w:val="20"/>
              </w:rPr>
              <w:t xml:space="preserve">Total </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B30C0" w:rsidRPr="0005608C" w:rsidRDefault="00AB30C0" w:rsidP="00F23656">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30C0" w:rsidRPr="00655337" w:rsidRDefault="00AB30C0" w:rsidP="00ED04F8">
            <w:pPr>
              <w:spacing w:after="0" w:line="240" w:lineRule="auto"/>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30C0" w:rsidRDefault="00AB30C0" w:rsidP="00D87CC1">
            <w:pPr>
              <w:spacing w:after="0" w:line="240" w:lineRule="auto"/>
              <w:jc w:val="center"/>
              <w:rPr>
                <w:b/>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65234B">
            <w:pPr>
              <w:spacing w:after="0" w:line="240"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r>
    </w:tbl>
    <w:p w:rsidR="003321F6" w:rsidRDefault="003321F6">
      <w:pPr>
        <w:jc w:val="cente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372A5A" w:rsidRDefault="00613E5F" w:rsidP="00372A5A">
      <w:pPr>
        <w:jc w:val="center"/>
        <w:rPr>
          <w:b/>
          <w:u w:val="single"/>
        </w:rPr>
      </w:pPr>
      <w:r>
        <w:rPr>
          <w:b/>
          <w:u w:val="single"/>
        </w:rPr>
        <w:t>Pupil Premium Data Point 2  Outcomes March 2020 ( Covid 19 lockdown interrupted end of year assessment process)</w:t>
      </w:r>
    </w:p>
    <w:tbl>
      <w:tblPr>
        <w:tblStyle w:val="TableGrid"/>
        <w:tblW w:w="0" w:type="auto"/>
        <w:tblLook w:val="04A0" w:firstRow="1" w:lastRow="0" w:firstColumn="1" w:lastColumn="0" w:noHBand="0" w:noVBand="1"/>
      </w:tblPr>
      <w:tblGrid>
        <w:gridCol w:w="1696"/>
        <w:gridCol w:w="1985"/>
        <w:gridCol w:w="1520"/>
        <w:gridCol w:w="1779"/>
        <w:gridCol w:w="1520"/>
        <w:gridCol w:w="1642"/>
        <w:gridCol w:w="1612"/>
        <w:gridCol w:w="1928"/>
        <w:gridCol w:w="1759"/>
      </w:tblGrid>
      <w:tr w:rsidR="00372A5A" w:rsidTr="00A16754">
        <w:tc>
          <w:tcPr>
            <w:tcW w:w="1696" w:type="dxa"/>
          </w:tcPr>
          <w:p w:rsidR="00372A5A" w:rsidRDefault="00372A5A" w:rsidP="00A16754">
            <w:pPr>
              <w:jc w:val="center"/>
              <w:rPr>
                <w:b/>
                <w:u w:val="single"/>
              </w:rPr>
            </w:pPr>
          </w:p>
        </w:tc>
        <w:tc>
          <w:tcPr>
            <w:tcW w:w="1985" w:type="dxa"/>
          </w:tcPr>
          <w:p w:rsidR="00372A5A" w:rsidRPr="00357132" w:rsidRDefault="00372A5A" w:rsidP="00A16754">
            <w:pPr>
              <w:jc w:val="center"/>
              <w:rPr>
                <w:b/>
              </w:rPr>
            </w:pPr>
            <w:r w:rsidRPr="00357132">
              <w:rPr>
                <w:b/>
              </w:rPr>
              <w:t>Reading</w:t>
            </w:r>
            <w:r>
              <w:rPr>
                <w:b/>
              </w:rPr>
              <w:t xml:space="preserve"> EXS</w:t>
            </w:r>
          </w:p>
        </w:tc>
        <w:tc>
          <w:tcPr>
            <w:tcW w:w="1520" w:type="dxa"/>
          </w:tcPr>
          <w:p w:rsidR="00372A5A" w:rsidRDefault="00372A5A" w:rsidP="00A16754">
            <w:pPr>
              <w:jc w:val="center"/>
              <w:rPr>
                <w:b/>
              </w:rPr>
            </w:pPr>
            <w:r w:rsidRPr="00357132">
              <w:rPr>
                <w:b/>
              </w:rPr>
              <w:t>Reading</w:t>
            </w:r>
            <w:r>
              <w:rPr>
                <w:b/>
              </w:rPr>
              <w:t xml:space="preserve"> GDS</w:t>
            </w:r>
          </w:p>
        </w:tc>
        <w:tc>
          <w:tcPr>
            <w:tcW w:w="1779" w:type="dxa"/>
          </w:tcPr>
          <w:p w:rsidR="00372A5A" w:rsidRPr="00357132" w:rsidRDefault="00372A5A" w:rsidP="00A16754">
            <w:pPr>
              <w:rPr>
                <w:b/>
              </w:rPr>
            </w:pPr>
            <w:r>
              <w:rPr>
                <w:b/>
              </w:rPr>
              <w:t>Writing EXS</w:t>
            </w:r>
          </w:p>
        </w:tc>
        <w:tc>
          <w:tcPr>
            <w:tcW w:w="1520" w:type="dxa"/>
          </w:tcPr>
          <w:p w:rsidR="00372A5A" w:rsidRDefault="00372A5A" w:rsidP="00A16754">
            <w:pPr>
              <w:jc w:val="center"/>
              <w:rPr>
                <w:b/>
              </w:rPr>
            </w:pPr>
            <w:r>
              <w:rPr>
                <w:b/>
              </w:rPr>
              <w:t>Writing GDS</w:t>
            </w:r>
          </w:p>
        </w:tc>
        <w:tc>
          <w:tcPr>
            <w:tcW w:w="1642" w:type="dxa"/>
          </w:tcPr>
          <w:p w:rsidR="00372A5A" w:rsidRPr="00357132" w:rsidRDefault="00372A5A" w:rsidP="00A16754">
            <w:pPr>
              <w:jc w:val="center"/>
              <w:rPr>
                <w:b/>
              </w:rPr>
            </w:pPr>
            <w:r>
              <w:rPr>
                <w:b/>
              </w:rPr>
              <w:t>Maths EXS</w:t>
            </w:r>
          </w:p>
        </w:tc>
        <w:tc>
          <w:tcPr>
            <w:tcW w:w="1612" w:type="dxa"/>
          </w:tcPr>
          <w:p w:rsidR="00372A5A" w:rsidRPr="00357132" w:rsidRDefault="00372A5A" w:rsidP="00A16754">
            <w:pPr>
              <w:jc w:val="center"/>
              <w:rPr>
                <w:b/>
              </w:rPr>
            </w:pPr>
            <w:r>
              <w:rPr>
                <w:b/>
              </w:rPr>
              <w:t>Maths GDS</w:t>
            </w:r>
          </w:p>
        </w:tc>
        <w:tc>
          <w:tcPr>
            <w:tcW w:w="1928" w:type="dxa"/>
          </w:tcPr>
          <w:p w:rsidR="00372A5A" w:rsidRPr="00357132" w:rsidRDefault="00372A5A" w:rsidP="00A16754">
            <w:pPr>
              <w:jc w:val="center"/>
              <w:rPr>
                <w:b/>
              </w:rPr>
            </w:pPr>
            <w:r>
              <w:rPr>
                <w:b/>
              </w:rPr>
              <w:t>R/W/M Combined EXS</w:t>
            </w:r>
          </w:p>
        </w:tc>
        <w:tc>
          <w:tcPr>
            <w:tcW w:w="1759" w:type="dxa"/>
          </w:tcPr>
          <w:p w:rsidR="00372A5A" w:rsidRDefault="00372A5A" w:rsidP="00A16754">
            <w:pPr>
              <w:jc w:val="center"/>
              <w:rPr>
                <w:b/>
              </w:rPr>
            </w:pPr>
            <w:r>
              <w:rPr>
                <w:b/>
              </w:rPr>
              <w:t>R/W/M Combined GDS</w:t>
            </w:r>
          </w:p>
        </w:tc>
      </w:tr>
      <w:tr w:rsidR="00372A5A" w:rsidTr="00A16754">
        <w:tc>
          <w:tcPr>
            <w:tcW w:w="1696" w:type="dxa"/>
          </w:tcPr>
          <w:p w:rsidR="00372A5A" w:rsidRPr="00357132" w:rsidRDefault="00372A5A" w:rsidP="00A16754">
            <w:pPr>
              <w:jc w:val="center"/>
              <w:rPr>
                <w:b/>
              </w:rPr>
            </w:pPr>
            <w:r w:rsidRPr="00357132">
              <w:rPr>
                <w:b/>
              </w:rPr>
              <w:t>Key stage 1 Teacher Assessment</w:t>
            </w:r>
          </w:p>
        </w:tc>
        <w:tc>
          <w:tcPr>
            <w:tcW w:w="1985" w:type="dxa"/>
          </w:tcPr>
          <w:p w:rsidR="00372A5A" w:rsidRPr="00FC7A0F" w:rsidRDefault="00613E5F" w:rsidP="00A16754">
            <w:pPr>
              <w:jc w:val="center"/>
              <w:rPr>
                <w:b/>
              </w:rPr>
            </w:pPr>
            <w:r>
              <w:rPr>
                <w:b/>
              </w:rPr>
              <w:t>58</w:t>
            </w:r>
            <w:r w:rsidR="00372A5A" w:rsidRPr="00FC7A0F">
              <w:rPr>
                <w:b/>
              </w:rPr>
              <w:t xml:space="preserve">% </w:t>
            </w:r>
          </w:p>
          <w:p w:rsidR="00372A5A" w:rsidRPr="00FC7A0F" w:rsidRDefault="00372A5A" w:rsidP="00A16754">
            <w:pPr>
              <w:jc w:val="center"/>
              <w:rPr>
                <w:b/>
              </w:rPr>
            </w:pPr>
          </w:p>
          <w:p w:rsidR="00372A5A" w:rsidRPr="00FC7A0F" w:rsidRDefault="00372A5A" w:rsidP="00A16754">
            <w:pPr>
              <w:jc w:val="center"/>
              <w:rPr>
                <w:b/>
              </w:rPr>
            </w:pPr>
          </w:p>
        </w:tc>
        <w:tc>
          <w:tcPr>
            <w:tcW w:w="1520" w:type="dxa"/>
          </w:tcPr>
          <w:p w:rsidR="00372A5A" w:rsidRPr="00FC7A0F" w:rsidRDefault="00613E5F" w:rsidP="00A16754">
            <w:pPr>
              <w:jc w:val="center"/>
              <w:rPr>
                <w:b/>
              </w:rPr>
            </w:pPr>
            <w:r>
              <w:rPr>
                <w:b/>
              </w:rPr>
              <w:t>0</w:t>
            </w:r>
            <w:r w:rsidR="00372A5A" w:rsidRPr="00FC7A0F">
              <w:rPr>
                <w:b/>
              </w:rPr>
              <w:t xml:space="preserve">% </w:t>
            </w: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tc>
        <w:tc>
          <w:tcPr>
            <w:tcW w:w="1779" w:type="dxa"/>
          </w:tcPr>
          <w:p w:rsidR="00372A5A" w:rsidRPr="00FC7A0F" w:rsidRDefault="00613E5F" w:rsidP="00A16754">
            <w:pPr>
              <w:jc w:val="center"/>
              <w:rPr>
                <w:b/>
              </w:rPr>
            </w:pPr>
            <w:r>
              <w:rPr>
                <w:b/>
              </w:rPr>
              <w:t>47</w:t>
            </w:r>
            <w:r w:rsidR="00372A5A" w:rsidRPr="00FC7A0F">
              <w:rPr>
                <w:b/>
              </w:rPr>
              <w:t xml:space="preserve">% </w:t>
            </w:r>
          </w:p>
          <w:p w:rsidR="00372A5A" w:rsidRPr="00FC7A0F" w:rsidRDefault="00372A5A" w:rsidP="00FC7A0F">
            <w:pPr>
              <w:jc w:val="center"/>
              <w:rPr>
                <w:b/>
              </w:rPr>
            </w:pPr>
          </w:p>
        </w:tc>
        <w:tc>
          <w:tcPr>
            <w:tcW w:w="1520" w:type="dxa"/>
          </w:tcPr>
          <w:p w:rsidR="00372A5A" w:rsidRPr="00FC7A0F" w:rsidRDefault="00613E5F" w:rsidP="00A16754">
            <w:pPr>
              <w:jc w:val="center"/>
              <w:rPr>
                <w:b/>
              </w:rPr>
            </w:pPr>
            <w:r>
              <w:rPr>
                <w:b/>
              </w:rPr>
              <w:t>0</w:t>
            </w:r>
            <w:r w:rsidR="00372A5A" w:rsidRPr="00FC7A0F">
              <w:rPr>
                <w:b/>
              </w:rPr>
              <w:t xml:space="preserve">% </w:t>
            </w: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tc>
        <w:tc>
          <w:tcPr>
            <w:tcW w:w="1642" w:type="dxa"/>
          </w:tcPr>
          <w:p w:rsidR="00372A5A" w:rsidRPr="00FC7A0F" w:rsidRDefault="00613E5F" w:rsidP="00A16754">
            <w:pPr>
              <w:jc w:val="center"/>
              <w:rPr>
                <w:b/>
              </w:rPr>
            </w:pPr>
            <w:r>
              <w:rPr>
                <w:b/>
              </w:rPr>
              <w:t>63</w:t>
            </w:r>
            <w:r w:rsidR="00372A5A" w:rsidRPr="00FC7A0F">
              <w:rPr>
                <w:b/>
              </w:rPr>
              <w:t>%</w:t>
            </w:r>
          </w:p>
          <w:p w:rsidR="00372A5A" w:rsidRPr="00FC7A0F" w:rsidRDefault="00372A5A" w:rsidP="00A16754">
            <w:pPr>
              <w:jc w:val="center"/>
              <w:rPr>
                <w:b/>
              </w:rPr>
            </w:pPr>
            <w:r w:rsidRPr="00FC7A0F">
              <w:rPr>
                <w:b/>
              </w:rPr>
              <w:t xml:space="preserve"> </w:t>
            </w:r>
          </w:p>
          <w:p w:rsidR="00372A5A" w:rsidRPr="00FC7A0F" w:rsidRDefault="00372A5A" w:rsidP="00A16754">
            <w:pPr>
              <w:jc w:val="center"/>
              <w:rPr>
                <w:b/>
              </w:rPr>
            </w:pPr>
          </w:p>
        </w:tc>
        <w:tc>
          <w:tcPr>
            <w:tcW w:w="1612" w:type="dxa"/>
          </w:tcPr>
          <w:p w:rsidR="00372A5A" w:rsidRPr="00FC7A0F" w:rsidRDefault="00613E5F" w:rsidP="00A16754">
            <w:pPr>
              <w:jc w:val="center"/>
              <w:rPr>
                <w:b/>
              </w:rPr>
            </w:pPr>
            <w:r>
              <w:rPr>
                <w:b/>
              </w:rPr>
              <w:t>0</w:t>
            </w:r>
            <w:r w:rsidR="00372A5A" w:rsidRPr="00FC7A0F">
              <w:rPr>
                <w:b/>
              </w:rPr>
              <w:t>%</w:t>
            </w:r>
          </w:p>
          <w:p w:rsidR="00372A5A" w:rsidRPr="00FC7A0F" w:rsidRDefault="00FC7A0F" w:rsidP="00A16754">
            <w:pPr>
              <w:jc w:val="center"/>
              <w:rPr>
                <w:b/>
              </w:rPr>
            </w:pPr>
            <w:r>
              <w:rPr>
                <w:b/>
              </w:rPr>
              <w:t xml:space="preserve"> </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928" w:type="dxa"/>
          </w:tcPr>
          <w:p w:rsidR="00372A5A" w:rsidRPr="00FC7A0F" w:rsidRDefault="00613E5F" w:rsidP="00A16754">
            <w:pPr>
              <w:jc w:val="center"/>
              <w:rPr>
                <w:b/>
              </w:rPr>
            </w:pPr>
            <w:r>
              <w:rPr>
                <w:b/>
              </w:rPr>
              <w:t>42</w:t>
            </w:r>
            <w:r w:rsidR="00372A5A" w:rsidRPr="00FC7A0F">
              <w:rPr>
                <w:b/>
              </w:rPr>
              <w:t>%</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759" w:type="dxa"/>
          </w:tcPr>
          <w:p w:rsidR="00372A5A" w:rsidRPr="00FC7A0F" w:rsidRDefault="00613E5F" w:rsidP="00A16754">
            <w:pPr>
              <w:jc w:val="center"/>
              <w:rPr>
                <w:b/>
              </w:rPr>
            </w:pPr>
            <w:r>
              <w:rPr>
                <w:b/>
              </w:rPr>
              <w:t>0</w:t>
            </w:r>
            <w:r w:rsidR="00372A5A" w:rsidRPr="00FC7A0F">
              <w:rPr>
                <w:b/>
              </w:rPr>
              <w:t xml:space="preserve">% </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r>
      <w:tr w:rsidR="00372A5A" w:rsidTr="00A16754">
        <w:tc>
          <w:tcPr>
            <w:tcW w:w="1696" w:type="dxa"/>
          </w:tcPr>
          <w:p w:rsidR="00372A5A" w:rsidRPr="00357132" w:rsidRDefault="00613E5F" w:rsidP="00A16754">
            <w:pPr>
              <w:jc w:val="center"/>
              <w:rPr>
                <w:b/>
              </w:rPr>
            </w:pPr>
            <w:r>
              <w:rPr>
                <w:b/>
              </w:rPr>
              <w:t>Key Stage 2 Teacher Assessment</w:t>
            </w:r>
          </w:p>
        </w:tc>
        <w:tc>
          <w:tcPr>
            <w:tcW w:w="1985" w:type="dxa"/>
          </w:tcPr>
          <w:p w:rsidR="00372A5A" w:rsidRPr="00FC7A0F" w:rsidRDefault="00A8790B" w:rsidP="00A16754">
            <w:pPr>
              <w:jc w:val="center"/>
              <w:rPr>
                <w:b/>
              </w:rPr>
            </w:pPr>
            <w:r>
              <w:rPr>
                <w:b/>
              </w:rPr>
              <w:t>71</w:t>
            </w:r>
            <w:r w:rsidR="00372A5A" w:rsidRPr="00FC7A0F">
              <w:rPr>
                <w:b/>
              </w:rPr>
              <w:t>%</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520" w:type="dxa"/>
          </w:tcPr>
          <w:p w:rsidR="00372A5A" w:rsidRPr="00FC7A0F" w:rsidRDefault="00A8790B" w:rsidP="00A16754">
            <w:pPr>
              <w:jc w:val="center"/>
              <w:rPr>
                <w:b/>
              </w:rPr>
            </w:pPr>
            <w:r>
              <w:rPr>
                <w:b/>
              </w:rPr>
              <w:t>26</w:t>
            </w:r>
            <w:r w:rsidR="00372A5A" w:rsidRPr="00FC7A0F">
              <w:rPr>
                <w:b/>
              </w:rPr>
              <w:t>%</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779" w:type="dxa"/>
          </w:tcPr>
          <w:p w:rsidR="00372A5A" w:rsidRPr="00FC7A0F" w:rsidRDefault="00A8790B" w:rsidP="00A16754">
            <w:pPr>
              <w:jc w:val="center"/>
              <w:rPr>
                <w:b/>
              </w:rPr>
            </w:pPr>
            <w:r>
              <w:rPr>
                <w:b/>
              </w:rPr>
              <w:t>68</w:t>
            </w:r>
            <w:r w:rsidR="00372A5A" w:rsidRPr="00FC7A0F">
              <w:rPr>
                <w:b/>
              </w:rPr>
              <w:t>%</w:t>
            </w:r>
          </w:p>
          <w:p w:rsidR="00372A5A" w:rsidRPr="00FC7A0F" w:rsidRDefault="00372A5A" w:rsidP="00A16754">
            <w:pPr>
              <w:jc w:val="center"/>
              <w:rPr>
                <w:b/>
              </w:rPr>
            </w:pPr>
          </w:p>
          <w:p w:rsidR="00372A5A" w:rsidRPr="00FC7A0F" w:rsidRDefault="00372A5A" w:rsidP="00A16754">
            <w:pPr>
              <w:jc w:val="center"/>
              <w:rPr>
                <w:b/>
              </w:rPr>
            </w:pPr>
          </w:p>
        </w:tc>
        <w:tc>
          <w:tcPr>
            <w:tcW w:w="1520" w:type="dxa"/>
          </w:tcPr>
          <w:p w:rsidR="00372A5A" w:rsidRPr="00FC7A0F" w:rsidRDefault="00A8790B" w:rsidP="00FC7A0F">
            <w:pPr>
              <w:jc w:val="center"/>
              <w:rPr>
                <w:b/>
              </w:rPr>
            </w:pPr>
            <w:r>
              <w:rPr>
                <w:b/>
              </w:rPr>
              <w:t>10</w:t>
            </w:r>
            <w:r w:rsidR="00372A5A" w:rsidRPr="00FC7A0F">
              <w:rPr>
                <w:b/>
              </w:rPr>
              <w:t>%</w:t>
            </w:r>
          </w:p>
          <w:p w:rsidR="00372A5A" w:rsidRPr="00FC7A0F" w:rsidRDefault="00372A5A" w:rsidP="00A16754">
            <w:pPr>
              <w:jc w:val="center"/>
              <w:rPr>
                <w:b/>
              </w:rPr>
            </w:pPr>
          </w:p>
          <w:p w:rsidR="00372A5A" w:rsidRPr="00FC7A0F" w:rsidRDefault="00372A5A" w:rsidP="00A16754">
            <w:pPr>
              <w:rPr>
                <w:b/>
              </w:rPr>
            </w:pPr>
          </w:p>
          <w:p w:rsidR="00372A5A" w:rsidRPr="00FC7A0F" w:rsidRDefault="00372A5A" w:rsidP="00A16754">
            <w:pPr>
              <w:rPr>
                <w:b/>
              </w:rPr>
            </w:pPr>
          </w:p>
        </w:tc>
        <w:tc>
          <w:tcPr>
            <w:tcW w:w="1642" w:type="dxa"/>
          </w:tcPr>
          <w:p w:rsidR="00372A5A" w:rsidRPr="00FC7A0F" w:rsidRDefault="00A8790B" w:rsidP="00A16754">
            <w:pPr>
              <w:jc w:val="center"/>
              <w:rPr>
                <w:b/>
              </w:rPr>
            </w:pPr>
            <w:r>
              <w:rPr>
                <w:b/>
              </w:rPr>
              <w:t>71</w:t>
            </w:r>
            <w:r w:rsidR="00372A5A" w:rsidRPr="00FC7A0F">
              <w:rPr>
                <w:b/>
              </w:rPr>
              <w:t>%</w:t>
            </w:r>
          </w:p>
          <w:p w:rsidR="00372A5A" w:rsidRPr="00FC7A0F" w:rsidRDefault="00372A5A" w:rsidP="00FC7A0F">
            <w:pPr>
              <w:jc w:val="center"/>
              <w:rPr>
                <w:b/>
              </w:rPr>
            </w:pPr>
          </w:p>
        </w:tc>
        <w:tc>
          <w:tcPr>
            <w:tcW w:w="1612" w:type="dxa"/>
          </w:tcPr>
          <w:p w:rsidR="00372A5A" w:rsidRPr="00FC7A0F" w:rsidRDefault="00A8790B" w:rsidP="00A16754">
            <w:pPr>
              <w:jc w:val="center"/>
              <w:rPr>
                <w:b/>
              </w:rPr>
            </w:pPr>
            <w:r>
              <w:rPr>
                <w:b/>
              </w:rPr>
              <w:t>36</w:t>
            </w:r>
            <w:r w:rsidR="00372A5A" w:rsidRPr="00FC7A0F">
              <w:rPr>
                <w:b/>
              </w:rPr>
              <w:t>%</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928" w:type="dxa"/>
          </w:tcPr>
          <w:p w:rsidR="00372A5A" w:rsidRDefault="00A8790B" w:rsidP="00A16754">
            <w:pPr>
              <w:jc w:val="center"/>
              <w:rPr>
                <w:b/>
              </w:rPr>
            </w:pPr>
            <w:r>
              <w:rPr>
                <w:b/>
              </w:rPr>
              <w:t>68</w:t>
            </w:r>
            <w:r w:rsidR="00372A5A" w:rsidRPr="00FC7A0F">
              <w:rPr>
                <w:b/>
              </w:rPr>
              <w:t>%</w:t>
            </w:r>
          </w:p>
          <w:p w:rsidR="00FC7A0F" w:rsidRPr="00FC7A0F" w:rsidRDefault="00FC7A0F"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759" w:type="dxa"/>
          </w:tcPr>
          <w:p w:rsidR="00372A5A" w:rsidRPr="00FC7A0F" w:rsidRDefault="00A8790B" w:rsidP="00A16754">
            <w:pPr>
              <w:jc w:val="center"/>
              <w:rPr>
                <w:b/>
              </w:rPr>
            </w:pPr>
            <w:r>
              <w:rPr>
                <w:b/>
              </w:rPr>
              <w:t>7</w:t>
            </w:r>
            <w:r w:rsidR="00372A5A" w:rsidRPr="00FC7A0F">
              <w:rPr>
                <w:b/>
              </w:rPr>
              <w:t>%</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FC7A0F">
            <w:pPr>
              <w:jc w:val="center"/>
              <w:rPr>
                <w:b/>
              </w:rPr>
            </w:pPr>
          </w:p>
        </w:tc>
      </w:tr>
    </w:tbl>
    <w:p w:rsidR="00372A5A" w:rsidRDefault="00372A5A" w:rsidP="00372A5A">
      <w:pPr>
        <w:jc w:val="center"/>
        <w:rPr>
          <w:b/>
          <w:u w:val="single"/>
        </w:rPr>
      </w:pPr>
    </w:p>
    <w:p w:rsidR="00372A5A" w:rsidRPr="00357132" w:rsidRDefault="00372A5A" w:rsidP="00372A5A">
      <w:pPr>
        <w:jc w:val="center"/>
        <w:rPr>
          <w:b/>
          <w:u w:val="single"/>
        </w:rPr>
      </w:pPr>
      <w:bookmarkStart w:id="0" w:name="_GoBack"/>
      <w:bookmarkEnd w:id="0"/>
    </w:p>
    <w:p w:rsidR="00372A5A" w:rsidRDefault="00372A5A">
      <w:pPr>
        <w:jc w:val="center"/>
      </w:pPr>
    </w:p>
    <w:sectPr w:rsidR="00372A5A" w:rsidSect="00874C6F">
      <w:pgSz w:w="16838" w:h="11906" w:orient="landscape"/>
      <w:pgMar w:top="567" w:right="536"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20" w:rsidRDefault="00900720">
      <w:pPr>
        <w:spacing w:after="0" w:line="240" w:lineRule="auto"/>
      </w:pPr>
      <w:r>
        <w:separator/>
      </w:r>
    </w:p>
  </w:endnote>
  <w:endnote w:type="continuationSeparator" w:id="0">
    <w:p w:rsidR="00900720" w:rsidRDefault="0090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20" w:rsidRDefault="00900720">
      <w:pPr>
        <w:spacing w:after="0" w:line="240" w:lineRule="auto"/>
      </w:pPr>
      <w:r>
        <w:rPr>
          <w:color w:val="000000"/>
        </w:rPr>
        <w:separator/>
      </w:r>
    </w:p>
  </w:footnote>
  <w:footnote w:type="continuationSeparator" w:id="0">
    <w:p w:rsidR="00900720" w:rsidRDefault="0090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C6180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6"/>
    <w:rsid w:val="0001594B"/>
    <w:rsid w:val="000208B7"/>
    <w:rsid w:val="0002165A"/>
    <w:rsid w:val="0005608C"/>
    <w:rsid w:val="000666C8"/>
    <w:rsid w:val="000B4165"/>
    <w:rsid w:val="000B4CB6"/>
    <w:rsid w:val="000C2CF2"/>
    <w:rsid w:val="000F25A5"/>
    <w:rsid w:val="001108EC"/>
    <w:rsid w:val="0011102D"/>
    <w:rsid w:val="0012488F"/>
    <w:rsid w:val="00126FAD"/>
    <w:rsid w:val="00141925"/>
    <w:rsid w:val="0015647A"/>
    <w:rsid w:val="001604D7"/>
    <w:rsid w:val="00186EC3"/>
    <w:rsid w:val="001C1DA7"/>
    <w:rsid w:val="001D0C74"/>
    <w:rsid w:val="001D0E58"/>
    <w:rsid w:val="002253CF"/>
    <w:rsid w:val="00241030"/>
    <w:rsid w:val="00241AB3"/>
    <w:rsid w:val="0026436C"/>
    <w:rsid w:val="00275C61"/>
    <w:rsid w:val="0028576A"/>
    <w:rsid w:val="00287BE8"/>
    <w:rsid w:val="002A1546"/>
    <w:rsid w:val="002B3F9F"/>
    <w:rsid w:val="002B4EB4"/>
    <w:rsid w:val="002B6BD0"/>
    <w:rsid w:val="002D54A1"/>
    <w:rsid w:val="002D565F"/>
    <w:rsid w:val="002E51F1"/>
    <w:rsid w:val="003321F6"/>
    <w:rsid w:val="00340219"/>
    <w:rsid w:val="00347138"/>
    <w:rsid w:val="00354A2B"/>
    <w:rsid w:val="003553C4"/>
    <w:rsid w:val="00372A5A"/>
    <w:rsid w:val="0038030D"/>
    <w:rsid w:val="003837EC"/>
    <w:rsid w:val="003A207C"/>
    <w:rsid w:val="003B40AA"/>
    <w:rsid w:val="003E0606"/>
    <w:rsid w:val="003F41FB"/>
    <w:rsid w:val="00401EE2"/>
    <w:rsid w:val="0040393D"/>
    <w:rsid w:val="00407E63"/>
    <w:rsid w:val="004337F0"/>
    <w:rsid w:val="004C1267"/>
    <w:rsid w:val="004D14D8"/>
    <w:rsid w:val="004E31A6"/>
    <w:rsid w:val="00510AE7"/>
    <w:rsid w:val="005257BF"/>
    <w:rsid w:val="00525C70"/>
    <w:rsid w:val="00541E35"/>
    <w:rsid w:val="00557EE5"/>
    <w:rsid w:val="005D7264"/>
    <w:rsid w:val="00610CD3"/>
    <w:rsid w:val="00613E5F"/>
    <w:rsid w:val="006311D1"/>
    <w:rsid w:val="006321EE"/>
    <w:rsid w:val="00640103"/>
    <w:rsid w:val="006502D5"/>
    <w:rsid w:val="0065234B"/>
    <w:rsid w:val="006545F9"/>
    <w:rsid w:val="00655337"/>
    <w:rsid w:val="00655DE9"/>
    <w:rsid w:val="006572BB"/>
    <w:rsid w:val="0066443D"/>
    <w:rsid w:val="00665124"/>
    <w:rsid w:val="0066548E"/>
    <w:rsid w:val="00675AA8"/>
    <w:rsid w:val="00681445"/>
    <w:rsid w:val="00683F85"/>
    <w:rsid w:val="006925FC"/>
    <w:rsid w:val="006B2E27"/>
    <w:rsid w:val="006C46BD"/>
    <w:rsid w:val="007008F3"/>
    <w:rsid w:val="00713B09"/>
    <w:rsid w:val="00731331"/>
    <w:rsid w:val="00732505"/>
    <w:rsid w:val="007558A5"/>
    <w:rsid w:val="00777EB1"/>
    <w:rsid w:val="007A167A"/>
    <w:rsid w:val="007B5DE6"/>
    <w:rsid w:val="007C5CC4"/>
    <w:rsid w:val="007E07D6"/>
    <w:rsid w:val="008443D1"/>
    <w:rsid w:val="00871306"/>
    <w:rsid w:val="00874C6F"/>
    <w:rsid w:val="00895240"/>
    <w:rsid w:val="008A0113"/>
    <w:rsid w:val="008A7B81"/>
    <w:rsid w:val="008C0687"/>
    <w:rsid w:val="008E05E1"/>
    <w:rsid w:val="00900720"/>
    <w:rsid w:val="00923C60"/>
    <w:rsid w:val="009612B5"/>
    <w:rsid w:val="00967894"/>
    <w:rsid w:val="009817B1"/>
    <w:rsid w:val="009A34DA"/>
    <w:rsid w:val="009F7C3F"/>
    <w:rsid w:val="00A049B9"/>
    <w:rsid w:val="00A16654"/>
    <w:rsid w:val="00A25C66"/>
    <w:rsid w:val="00A411E1"/>
    <w:rsid w:val="00A53D32"/>
    <w:rsid w:val="00A5429C"/>
    <w:rsid w:val="00A64E48"/>
    <w:rsid w:val="00A8790B"/>
    <w:rsid w:val="00A90E36"/>
    <w:rsid w:val="00AA73D8"/>
    <w:rsid w:val="00AB30C0"/>
    <w:rsid w:val="00AC2EFA"/>
    <w:rsid w:val="00AD2C8A"/>
    <w:rsid w:val="00B079D1"/>
    <w:rsid w:val="00B13BB6"/>
    <w:rsid w:val="00B30A2A"/>
    <w:rsid w:val="00B370DB"/>
    <w:rsid w:val="00B41BC3"/>
    <w:rsid w:val="00B54EF5"/>
    <w:rsid w:val="00B57A8C"/>
    <w:rsid w:val="00B672BA"/>
    <w:rsid w:val="00B80160"/>
    <w:rsid w:val="00B95371"/>
    <w:rsid w:val="00C33AE0"/>
    <w:rsid w:val="00C65CA9"/>
    <w:rsid w:val="00C87654"/>
    <w:rsid w:val="00CF79B0"/>
    <w:rsid w:val="00D3490F"/>
    <w:rsid w:val="00D80EE3"/>
    <w:rsid w:val="00D82D04"/>
    <w:rsid w:val="00D87CC1"/>
    <w:rsid w:val="00D9008E"/>
    <w:rsid w:val="00D943F3"/>
    <w:rsid w:val="00DA10A6"/>
    <w:rsid w:val="00DB1B54"/>
    <w:rsid w:val="00DD1AFA"/>
    <w:rsid w:val="00DE3E79"/>
    <w:rsid w:val="00DF3D2F"/>
    <w:rsid w:val="00E77732"/>
    <w:rsid w:val="00ED04F8"/>
    <w:rsid w:val="00EE22E4"/>
    <w:rsid w:val="00EE2CD1"/>
    <w:rsid w:val="00EF52D7"/>
    <w:rsid w:val="00EF7B65"/>
    <w:rsid w:val="00F14B09"/>
    <w:rsid w:val="00F1697E"/>
    <w:rsid w:val="00F23656"/>
    <w:rsid w:val="00F30CD7"/>
    <w:rsid w:val="00F4783E"/>
    <w:rsid w:val="00F650AB"/>
    <w:rsid w:val="00F76173"/>
    <w:rsid w:val="00F90D7B"/>
    <w:rsid w:val="00F94CF8"/>
    <w:rsid w:val="00FA52CE"/>
    <w:rsid w:val="00FB1283"/>
    <w:rsid w:val="00FB24D2"/>
    <w:rsid w:val="00FC621D"/>
    <w:rsid w:val="00FC7A0F"/>
    <w:rsid w:val="00FE4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31B3A"/>
  <w15:docId w15:val="{5F929F83-5B91-41AA-B42E-DD42A66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7BE8"/>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uiPriority w:val="1"/>
    <w:qFormat/>
    <w:rsid w:val="007E07D6"/>
    <w:pPr>
      <w:suppressAutoHyphens/>
      <w:spacing w:after="0" w:line="240" w:lineRule="auto"/>
    </w:pPr>
  </w:style>
  <w:style w:type="table" w:styleId="TableGrid">
    <w:name w:val="Table Grid"/>
    <w:basedOn w:val="TableNormal"/>
    <w:uiPriority w:val="39"/>
    <w:rsid w:val="00655DE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7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Elizabeth.Lawley</dc:creator>
  <cp:lastModifiedBy>Christine Moran</cp:lastModifiedBy>
  <cp:revision>2</cp:revision>
  <cp:lastPrinted>2019-07-10T11:26:00Z</cp:lastPrinted>
  <dcterms:created xsi:type="dcterms:W3CDTF">2020-09-22T13:07:00Z</dcterms:created>
  <dcterms:modified xsi:type="dcterms:W3CDTF">2020-09-22T13:07:00Z</dcterms:modified>
</cp:coreProperties>
</file>